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5F44E" w14:textId="0ADD694F" w:rsidR="0012388D" w:rsidRDefault="00772BDC" w:rsidP="00CA5734">
      <w:pPr>
        <w:rPr>
          <w:rFonts w:cs="Arial"/>
        </w:rPr>
      </w:pPr>
      <w:r>
        <w:rPr>
          <w:rFonts w:cs="Arial"/>
          <w:noProof/>
          <w:lang w:eastAsia="en-GB" w:bidi="ar-SA"/>
        </w:rPr>
        <w:drawing>
          <wp:inline distT="0" distB="0" distL="0" distR="0" wp14:anchorId="3EFD0D47" wp14:editId="6B1DBB3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BEA390A" w14:textId="77777777" w:rsidR="00A671E6" w:rsidRPr="00A671E6" w:rsidRDefault="00A671E6" w:rsidP="00A671E6">
      <w:pPr>
        <w:rPr>
          <w:color w:val="FF0000"/>
        </w:rPr>
      </w:pPr>
    </w:p>
    <w:p w14:paraId="739B1344" w14:textId="152159B5" w:rsidR="00A671E6" w:rsidRPr="00935EF8" w:rsidRDefault="00A5236C" w:rsidP="00A671E6">
      <w:pPr>
        <w:rPr>
          <w:b/>
          <w:sz w:val="28"/>
          <w:szCs w:val="28"/>
        </w:rPr>
      </w:pPr>
      <w:r w:rsidRPr="00935EF8">
        <w:rPr>
          <w:b/>
          <w:sz w:val="28"/>
          <w:szCs w:val="28"/>
        </w:rPr>
        <w:t>2 November 2017</w:t>
      </w:r>
    </w:p>
    <w:p w14:paraId="1F3F015B" w14:textId="50397AFE" w:rsidR="00A671E6" w:rsidRPr="00935EF8" w:rsidRDefault="00A5236C" w:rsidP="00A671E6">
      <w:pPr>
        <w:rPr>
          <w:b/>
          <w:sz w:val="28"/>
          <w:szCs w:val="28"/>
        </w:rPr>
      </w:pPr>
      <w:r w:rsidRPr="00935EF8">
        <w:rPr>
          <w:b/>
          <w:sz w:val="28"/>
          <w:szCs w:val="28"/>
        </w:rPr>
        <w:t>[31</w:t>
      </w:r>
      <w:r w:rsidR="00831154" w:rsidRPr="00935EF8">
        <w:rPr>
          <w:b/>
          <w:sz w:val="28"/>
          <w:szCs w:val="28"/>
        </w:rPr>
        <w:t>-1</w:t>
      </w:r>
      <w:r w:rsidRPr="00935EF8">
        <w:rPr>
          <w:b/>
          <w:sz w:val="28"/>
          <w:szCs w:val="28"/>
        </w:rPr>
        <w:t>7</w:t>
      </w:r>
      <w:r w:rsidR="00A671E6" w:rsidRPr="00935EF8">
        <w:rPr>
          <w:b/>
          <w:sz w:val="28"/>
          <w:szCs w:val="28"/>
        </w:rPr>
        <w:t>]</w:t>
      </w:r>
    </w:p>
    <w:p w14:paraId="4F23B7E1" w14:textId="77777777" w:rsidR="00A671E6" w:rsidRPr="00935EF8" w:rsidRDefault="00A671E6" w:rsidP="00A671E6"/>
    <w:p w14:paraId="285218F1" w14:textId="77777777" w:rsidR="0012388D" w:rsidRPr="005C1D2C" w:rsidRDefault="00B425AA" w:rsidP="00B425AA">
      <w:pPr>
        <w:pStyle w:val="FSTitle"/>
      </w:pPr>
      <w:r w:rsidRPr="005C1D2C">
        <w:t>A</w:t>
      </w:r>
      <w:r w:rsidR="00DD265C" w:rsidRPr="005C1D2C">
        <w:t>pproval</w:t>
      </w:r>
      <w:r w:rsidRPr="005C1D2C">
        <w:t xml:space="preserve"> </w:t>
      </w:r>
      <w:r w:rsidR="00B77C18" w:rsidRPr="005C1D2C">
        <w:t>r</w:t>
      </w:r>
      <w:r w:rsidR="00DD265C" w:rsidRPr="005C1D2C">
        <w:t>eport</w:t>
      </w:r>
      <w:r w:rsidRPr="005C1D2C">
        <w:t xml:space="preserve"> – </w:t>
      </w:r>
      <w:r w:rsidR="00EB6590" w:rsidRPr="005C1D2C">
        <w:t>A</w:t>
      </w:r>
      <w:r w:rsidR="00DD265C" w:rsidRPr="005C1D2C">
        <w:t>pplication</w:t>
      </w:r>
      <w:r w:rsidR="00CA5734" w:rsidRPr="005C1D2C">
        <w:t xml:space="preserve"> </w:t>
      </w:r>
      <w:r w:rsidR="00D15A08" w:rsidRPr="005C1D2C">
        <w:t>A</w:t>
      </w:r>
      <w:r w:rsidR="00B46D56" w:rsidRPr="005C1D2C">
        <w:t>1130</w:t>
      </w:r>
    </w:p>
    <w:p w14:paraId="7093A619" w14:textId="77777777" w:rsidR="003A7B84" w:rsidRPr="00CA5734" w:rsidRDefault="003A7B84" w:rsidP="00A671E6"/>
    <w:p w14:paraId="6B57F109" w14:textId="77777777" w:rsidR="00B46D56" w:rsidRPr="006A2F55" w:rsidRDefault="00B46D56" w:rsidP="00B46D56">
      <w:pPr>
        <w:pStyle w:val="FSTitle"/>
      </w:pPr>
      <w:r w:rsidRPr="006A2F55">
        <w:t xml:space="preserve">Triacylglycerol </w:t>
      </w:r>
      <w:r>
        <w:t>L</w:t>
      </w:r>
      <w:r w:rsidRPr="006A2F55">
        <w:t>ipase as a Processing Aid (Enzyme)</w:t>
      </w:r>
    </w:p>
    <w:p w14:paraId="27C6CBF3" w14:textId="77777777" w:rsidR="003A7B84" w:rsidRPr="00E327A6" w:rsidRDefault="003A7B84" w:rsidP="00871116">
      <w:pPr>
        <w:pBdr>
          <w:bottom w:val="single" w:sz="12" w:space="1" w:color="auto"/>
        </w:pBdr>
        <w:tabs>
          <w:tab w:val="left" w:pos="1140"/>
        </w:tabs>
        <w:rPr>
          <w:rFonts w:cs="Arial"/>
          <w:bCs/>
        </w:rPr>
      </w:pPr>
    </w:p>
    <w:p w14:paraId="108AEF7D" w14:textId="77777777" w:rsidR="003A7B84" w:rsidRPr="00E327A6" w:rsidRDefault="003A7B84" w:rsidP="003A7B84"/>
    <w:p w14:paraId="3D124974" w14:textId="3B628DF2" w:rsidR="00EB6590" w:rsidRPr="005C1D2C" w:rsidRDefault="000F3CFE" w:rsidP="00CA5734">
      <w:r w:rsidRPr="005C1D2C">
        <w:t>Food Standards Australia New Zealand (FSANZ) has</w:t>
      </w:r>
      <w:r w:rsidR="00081B0A" w:rsidRPr="005C1D2C">
        <w:t xml:space="preserve"> assessed an application</w:t>
      </w:r>
      <w:r w:rsidR="00CA5734" w:rsidRPr="005C1D2C">
        <w:t xml:space="preserve"> </w:t>
      </w:r>
      <w:r w:rsidR="00081B0A" w:rsidRPr="005C1D2C">
        <w:t xml:space="preserve">made by </w:t>
      </w:r>
      <w:r w:rsidR="005C1D2C" w:rsidRPr="005C1D2C">
        <w:t>Amano Enzyme Inc.</w:t>
      </w:r>
      <w:r w:rsidR="003A7B84" w:rsidRPr="005C1D2C">
        <w:t xml:space="preserve"> </w:t>
      </w:r>
      <w:r w:rsidR="00CA5734" w:rsidRPr="005C1D2C">
        <w:t>to</w:t>
      </w:r>
      <w:r w:rsidR="00081B0A" w:rsidRPr="005C1D2C">
        <w:t xml:space="preserve"> </w:t>
      </w:r>
      <w:r w:rsidR="005C1D2C" w:rsidRPr="005C1D2C">
        <w:t xml:space="preserve">permit the use of triacylglycerol lipase from </w:t>
      </w:r>
      <w:r w:rsidR="005C1D2C" w:rsidRPr="005C1D2C">
        <w:rPr>
          <w:i/>
        </w:rPr>
        <w:t xml:space="preserve">Candida </w:t>
      </w:r>
      <w:proofErr w:type="spellStart"/>
      <w:r w:rsidR="005C1D2C" w:rsidRPr="005C1D2C">
        <w:rPr>
          <w:i/>
        </w:rPr>
        <w:t>cylindracea</w:t>
      </w:r>
      <w:proofErr w:type="spellEnd"/>
      <w:r w:rsidR="005C1D2C" w:rsidRPr="005C1D2C">
        <w:t xml:space="preserve"> as a processing aid in the manufacture of bakery products and dairy products</w:t>
      </w:r>
      <w:r w:rsidR="00DE3766">
        <w:t>,</w:t>
      </w:r>
      <w:r w:rsidR="005C1D2C" w:rsidRPr="005C1D2C">
        <w:t xml:space="preserve"> and in the processing of fats and oils.</w:t>
      </w:r>
    </w:p>
    <w:p w14:paraId="0198C614" w14:textId="77777777" w:rsidR="00CA5734" w:rsidRDefault="00CA5734" w:rsidP="00CA5734"/>
    <w:p w14:paraId="5CF3A60F" w14:textId="0DB9C0EE" w:rsidR="00081B0A" w:rsidRDefault="00081B0A" w:rsidP="00CA5734">
      <w:r w:rsidRPr="005C1D2C">
        <w:t xml:space="preserve">On </w:t>
      </w:r>
      <w:r w:rsidR="005C1D2C" w:rsidRPr="005C1D2C">
        <w:t>7 July 2017</w:t>
      </w:r>
      <w:r w:rsidR="003A7B84" w:rsidRPr="005C1D2C">
        <w:t>,</w:t>
      </w:r>
      <w:r w:rsidRPr="005C1D2C">
        <w:t xml:space="preserve"> FSANZ sought </w:t>
      </w:r>
      <w:r w:rsidR="003A7B84" w:rsidRPr="005C1D2C">
        <w:t xml:space="preserve">submissions </w:t>
      </w:r>
      <w:r w:rsidR="00A671E6" w:rsidRPr="005C1D2C">
        <w:t xml:space="preserve">on </w:t>
      </w:r>
      <w:r w:rsidR="00F526BD" w:rsidRPr="005C1D2C">
        <w:t xml:space="preserve">a draft </w:t>
      </w:r>
      <w:r w:rsidR="00E30092" w:rsidRPr="005C1D2C">
        <w:t xml:space="preserve">variation </w:t>
      </w:r>
      <w:r w:rsidR="003A7B84" w:rsidRPr="005C1D2C">
        <w:t xml:space="preserve">and published an </w:t>
      </w:r>
      <w:r w:rsidR="00EC21DF" w:rsidRPr="005C1D2C">
        <w:t xml:space="preserve">associated </w:t>
      </w:r>
      <w:r w:rsidR="00EC21DF">
        <w:t>r</w:t>
      </w:r>
      <w:r w:rsidR="003A7B84">
        <w:t>eport</w:t>
      </w:r>
      <w:r>
        <w:t>.</w:t>
      </w:r>
      <w:r w:rsidR="00F526BD">
        <w:t xml:space="preserve"> FSANZ received </w:t>
      </w:r>
      <w:r w:rsidR="004418F5">
        <w:t>six</w:t>
      </w:r>
      <w:r w:rsidR="00F526BD">
        <w:t xml:space="preserve"> submissions.</w:t>
      </w:r>
    </w:p>
    <w:p w14:paraId="0A368185" w14:textId="77777777" w:rsidR="00CA5734" w:rsidRDefault="00CA5734" w:rsidP="00CA5734"/>
    <w:p w14:paraId="681371C1" w14:textId="65ACF18E" w:rsidR="00081B0A" w:rsidRDefault="00081B0A" w:rsidP="00CA5734">
      <w:r>
        <w:t xml:space="preserve">FSANZ approved the </w:t>
      </w:r>
      <w:r w:rsidRPr="005C1D2C">
        <w:t xml:space="preserve">draft </w:t>
      </w:r>
      <w:r w:rsidR="00E30092" w:rsidRPr="005C1D2C">
        <w:t xml:space="preserve">variation </w:t>
      </w:r>
      <w:r w:rsidR="0012388D">
        <w:t xml:space="preserve">on </w:t>
      </w:r>
      <w:r w:rsidR="005C1D2C" w:rsidRPr="00935EF8">
        <w:t>25 October 2017</w:t>
      </w:r>
      <w:r w:rsidRPr="00935EF8">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bookmarkStart w:id="0" w:name="_GoBack"/>
      <w:r w:rsidR="00A5236C" w:rsidRPr="00935EF8">
        <w:t>31 October 2017.</w:t>
      </w:r>
      <w:bookmarkEnd w:id="0"/>
    </w:p>
    <w:p w14:paraId="4CFFD9EC" w14:textId="77777777" w:rsidR="00CA5734" w:rsidRDefault="00CA5734" w:rsidP="00CA5734"/>
    <w:p w14:paraId="0E58004A" w14:textId="153C67C9" w:rsidR="00081B0A" w:rsidRDefault="003A7B84" w:rsidP="00292B9B">
      <w:r>
        <w:t>This R</w:t>
      </w:r>
      <w:r w:rsidR="00B425AA">
        <w:t xml:space="preserve">eport is provided pursuant to </w:t>
      </w:r>
      <w:r w:rsidR="009A2699" w:rsidRPr="005C1D2C">
        <w:t>paragraph</w:t>
      </w:r>
      <w:r w:rsidR="00081B0A" w:rsidRPr="005C1D2C">
        <w:t xml:space="preserve"> 33(1</w:t>
      </w:r>
      <w:proofErr w:type="gramStart"/>
      <w:r w:rsidR="00081B0A" w:rsidRPr="005C1D2C">
        <w:t>)(</w:t>
      </w:r>
      <w:proofErr w:type="gramEnd"/>
      <w:r w:rsidR="00081B0A" w:rsidRPr="005C1D2C">
        <w:t>b</w:t>
      </w:r>
      <w:r w:rsidR="00F33470" w:rsidRPr="005C1D2C">
        <w:t>)</w:t>
      </w:r>
      <w:r w:rsidR="00081B0A" w:rsidRPr="005C1D2C">
        <w:t xml:space="preserve"> of </w:t>
      </w:r>
      <w:r w:rsidR="00081B0A">
        <w:t xml:space="preserve">the </w:t>
      </w:r>
      <w:r w:rsidR="00081B0A" w:rsidRPr="0012388D">
        <w:rPr>
          <w:i/>
        </w:rPr>
        <w:t>Food Standards Australia New Zealand Act 1991</w:t>
      </w:r>
      <w:r w:rsidR="00081B0A">
        <w:t xml:space="preserve"> (the FSANZ Act).</w:t>
      </w:r>
    </w:p>
    <w:p w14:paraId="610FCA48" w14:textId="77777777" w:rsidR="00F526BD" w:rsidRDefault="00F526BD" w:rsidP="00A671E6"/>
    <w:p w14:paraId="35D01D39" w14:textId="77777777" w:rsidR="00EB6590" w:rsidRDefault="00EB6590" w:rsidP="00F526BD"/>
    <w:p w14:paraId="0BFDF139"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281BBF32"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B82B070" w14:textId="77777777" w:rsidR="00CE59AA" w:rsidRPr="00346622" w:rsidRDefault="00CE59AA" w:rsidP="00CE59AA">
      <w:pPr>
        <w:rPr>
          <w:rFonts w:cs="Arial"/>
          <w:sz w:val="20"/>
          <w:szCs w:val="20"/>
        </w:rPr>
      </w:pPr>
    </w:p>
    <w:p w14:paraId="15547FC9" w14:textId="77777777" w:rsidR="006A2FA0"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494789943" w:history="1">
        <w:r w:rsidR="006A2FA0" w:rsidRPr="00205158">
          <w:rPr>
            <w:rStyle w:val="Hyperlink"/>
            <w:noProof/>
          </w:rPr>
          <w:t>Executive summary</w:t>
        </w:r>
        <w:r w:rsidR="006A2FA0">
          <w:rPr>
            <w:noProof/>
            <w:webHidden/>
          </w:rPr>
          <w:tab/>
        </w:r>
        <w:r w:rsidR="006A2FA0">
          <w:rPr>
            <w:noProof/>
            <w:webHidden/>
          </w:rPr>
          <w:fldChar w:fldCharType="begin"/>
        </w:r>
        <w:r w:rsidR="006A2FA0">
          <w:rPr>
            <w:noProof/>
            <w:webHidden/>
          </w:rPr>
          <w:instrText xml:space="preserve"> PAGEREF _Toc494789943 \h </w:instrText>
        </w:r>
        <w:r w:rsidR="006A2FA0">
          <w:rPr>
            <w:noProof/>
            <w:webHidden/>
          </w:rPr>
        </w:r>
        <w:r w:rsidR="006A2FA0">
          <w:rPr>
            <w:noProof/>
            <w:webHidden/>
          </w:rPr>
          <w:fldChar w:fldCharType="separate"/>
        </w:r>
        <w:r w:rsidR="006A2FA0">
          <w:rPr>
            <w:noProof/>
            <w:webHidden/>
          </w:rPr>
          <w:t>2</w:t>
        </w:r>
        <w:r w:rsidR="006A2FA0">
          <w:rPr>
            <w:noProof/>
            <w:webHidden/>
          </w:rPr>
          <w:fldChar w:fldCharType="end"/>
        </w:r>
      </w:hyperlink>
    </w:p>
    <w:p w14:paraId="65B709F3" w14:textId="77777777" w:rsidR="006A2FA0" w:rsidRDefault="00935E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789944" w:history="1">
        <w:r w:rsidR="006A2FA0" w:rsidRPr="00205158">
          <w:rPr>
            <w:rStyle w:val="Hyperlink"/>
            <w:noProof/>
          </w:rPr>
          <w:t>1</w:t>
        </w:r>
        <w:r w:rsidR="006A2FA0">
          <w:rPr>
            <w:rFonts w:eastAsiaTheme="minorEastAsia" w:cstheme="minorBidi"/>
            <w:b w:val="0"/>
            <w:bCs w:val="0"/>
            <w:caps w:val="0"/>
            <w:noProof/>
            <w:sz w:val="22"/>
            <w:szCs w:val="22"/>
            <w:lang w:eastAsia="en-GB" w:bidi="ar-SA"/>
          </w:rPr>
          <w:tab/>
        </w:r>
        <w:r w:rsidR="006A2FA0" w:rsidRPr="00205158">
          <w:rPr>
            <w:rStyle w:val="Hyperlink"/>
            <w:noProof/>
          </w:rPr>
          <w:t>Introduction</w:t>
        </w:r>
        <w:r w:rsidR="006A2FA0">
          <w:rPr>
            <w:noProof/>
            <w:webHidden/>
          </w:rPr>
          <w:tab/>
        </w:r>
        <w:r w:rsidR="006A2FA0">
          <w:rPr>
            <w:noProof/>
            <w:webHidden/>
          </w:rPr>
          <w:fldChar w:fldCharType="begin"/>
        </w:r>
        <w:r w:rsidR="006A2FA0">
          <w:rPr>
            <w:noProof/>
            <w:webHidden/>
          </w:rPr>
          <w:instrText xml:space="preserve"> PAGEREF _Toc494789944 \h </w:instrText>
        </w:r>
        <w:r w:rsidR="006A2FA0">
          <w:rPr>
            <w:noProof/>
            <w:webHidden/>
          </w:rPr>
        </w:r>
        <w:r w:rsidR="006A2FA0">
          <w:rPr>
            <w:noProof/>
            <w:webHidden/>
          </w:rPr>
          <w:fldChar w:fldCharType="separate"/>
        </w:r>
        <w:r w:rsidR="006A2FA0">
          <w:rPr>
            <w:noProof/>
            <w:webHidden/>
          </w:rPr>
          <w:t>3</w:t>
        </w:r>
        <w:r w:rsidR="006A2FA0">
          <w:rPr>
            <w:noProof/>
            <w:webHidden/>
          </w:rPr>
          <w:fldChar w:fldCharType="end"/>
        </w:r>
      </w:hyperlink>
    </w:p>
    <w:p w14:paraId="3A059781"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45" w:history="1">
        <w:r w:rsidR="006A2FA0" w:rsidRPr="00205158">
          <w:rPr>
            <w:rStyle w:val="Hyperlink"/>
            <w:noProof/>
          </w:rPr>
          <w:t>1.1</w:t>
        </w:r>
        <w:r w:rsidR="006A2FA0">
          <w:rPr>
            <w:rFonts w:eastAsiaTheme="minorEastAsia" w:cstheme="minorBidi"/>
            <w:smallCaps w:val="0"/>
            <w:noProof/>
            <w:sz w:val="22"/>
            <w:szCs w:val="22"/>
            <w:lang w:eastAsia="en-GB" w:bidi="ar-SA"/>
          </w:rPr>
          <w:tab/>
        </w:r>
        <w:r w:rsidR="006A2FA0" w:rsidRPr="00205158">
          <w:rPr>
            <w:rStyle w:val="Hyperlink"/>
            <w:noProof/>
          </w:rPr>
          <w:t>The Applicant</w:t>
        </w:r>
        <w:r w:rsidR="006A2FA0">
          <w:rPr>
            <w:noProof/>
            <w:webHidden/>
          </w:rPr>
          <w:tab/>
        </w:r>
        <w:r w:rsidR="006A2FA0">
          <w:rPr>
            <w:noProof/>
            <w:webHidden/>
          </w:rPr>
          <w:fldChar w:fldCharType="begin"/>
        </w:r>
        <w:r w:rsidR="006A2FA0">
          <w:rPr>
            <w:noProof/>
            <w:webHidden/>
          </w:rPr>
          <w:instrText xml:space="preserve"> PAGEREF _Toc494789945 \h </w:instrText>
        </w:r>
        <w:r w:rsidR="006A2FA0">
          <w:rPr>
            <w:noProof/>
            <w:webHidden/>
          </w:rPr>
        </w:r>
        <w:r w:rsidR="006A2FA0">
          <w:rPr>
            <w:noProof/>
            <w:webHidden/>
          </w:rPr>
          <w:fldChar w:fldCharType="separate"/>
        </w:r>
        <w:r w:rsidR="006A2FA0">
          <w:rPr>
            <w:noProof/>
            <w:webHidden/>
          </w:rPr>
          <w:t>3</w:t>
        </w:r>
        <w:r w:rsidR="006A2FA0">
          <w:rPr>
            <w:noProof/>
            <w:webHidden/>
          </w:rPr>
          <w:fldChar w:fldCharType="end"/>
        </w:r>
      </w:hyperlink>
    </w:p>
    <w:p w14:paraId="0391FCBE" w14:textId="77777777" w:rsidR="006A2FA0" w:rsidRDefault="00935E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789946" w:history="1">
        <w:r w:rsidR="006A2FA0" w:rsidRPr="00205158">
          <w:rPr>
            <w:rStyle w:val="Hyperlink"/>
            <w:noProof/>
          </w:rPr>
          <w:t>2</w:t>
        </w:r>
        <w:r w:rsidR="006A2FA0">
          <w:rPr>
            <w:rFonts w:eastAsiaTheme="minorEastAsia" w:cstheme="minorBidi"/>
            <w:b w:val="0"/>
            <w:bCs w:val="0"/>
            <w:caps w:val="0"/>
            <w:noProof/>
            <w:sz w:val="22"/>
            <w:szCs w:val="22"/>
            <w:lang w:eastAsia="en-GB" w:bidi="ar-SA"/>
          </w:rPr>
          <w:tab/>
        </w:r>
        <w:r w:rsidR="006A2FA0" w:rsidRPr="00205158">
          <w:rPr>
            <w:rStyle w:val="Hyperlink"/>
            <w:noProof/>
          </w:rPr>
          <w:t xml:space="preserve">Summary </w:t>
        </w:r>
        <w:r w:rsidR="006A2FA0" w:rsidRPr="00205158">
          <w:rPr>
            <w:rStyle w:val="Hyperlink"/>
            <w:noProof/>
            <w:u w:color="FFFF00"/>
          </w:rPr>
          <w:t>of</w:t>
        </w:r>
        <w:r w:rsidR="006A2FA0" w:rsidRPr="00205158">
          <w:rPr>
            <w:rStyle w:val="Hyperlink"/>
            <w:noProof/>
          </w:rPr>
          <w:t xml:space="preserve"> the findings</w:t>
        </w:r>
        <w:r w:rsidR="006A2FA0">
          <w:rPr>
            <w:noProof/>
            <w:webHidden/>
          </w:rPr>
          <w:tab/>
        </w:r>
        <w:r w:rsidR="006A2FA0">
          <w:rPr>
            <w:noProof/>
            <w:webHidden/>
          </w:rPr>
          <w:fldChar w:fldCharType="begin"/>
        </w:r>
        <w:r w:rsidR="006A2FA0">
          <w:rPr>
            <w:noProof/>
            <w:webHidden/>
          </w:rPr>
          <w:instrText xml:space="preserve"> PAGEREF _Toc494789946 \h </w:instrText>
        </w:r>
        <w:r w:rsidR="006A2FA0">
          <w:rPr>
            <w:noProof/>
            <w:webHidden/>
          </w:rPr>
        </w:r>
        <w:r w:rsidR="006A2FA0">
          <w:rPr>
            <w:noProof/>
            <w:webHidden/>
          </w:rPr>
          <w:fldChar w:fldCharType="separate"/>
        </w:r>
        <w:r w:rsidR="006A2FA0">
          <w:rPr>
            <w:noProof/>
            <w:webHidden/>
          </w:rPr>
          <w:t>5</w:t>
        </w:r>
        <w:r w:rsidR="006A2FA0">
          <w:rPr>
            <w:noProof/>
            <w:webHidden/>
          </w:rPr>
          <w:fldChar w:fldCharType="end"/>
        </w:r>
      </w:hyperlink>
    </w:p>
    <w:p w14:paraId="1299C670"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47" w:history="1">
        <w:r w:rsidR="006A2FA0" w:rsidRPr="00205158">
          <w:rPr>
            <w:rStyle w:val="Hyperlink"/>
            <w:noProof/>
          </w:rPr>
          <w:t>2.1</w:t>
        </w:r>
        <w:r w:rsidR="006A2FA0">
          <w:rPr>
            <w:rFonts w:eastAsiaTheme="minorEastAsia" w:cstheme="minorBidi"/>
            <w:smallCaps w:val="0"/>
            <w:noProof/>
            <w:sz w:val="22"/>
            <w:szCs w:val="22"/>
            <w:lang w:eastAsia="en-GB" w:bidi="ar-SA"/>
          </w:rPr>
          <w:tab/>
        </w:r>
        <w:r w:rsidR="006A2FA0" w:rsidRPr="00205158">
          <w:rPr>
            <w:rStyle w:val="Hyperlink"/>
            <w:noProof/>
          </w:rPr>
          <w:t>Summary of issues raised in submissions</w:t>
        </w:r>
        <w:r w:rsidR="006A2FA0">
          <w:rPr>
            <w:noProof/>
            <w:webHidden/>
          </w:rPr>
          <w:tab/>
        </w:r>
        <w:r w:rsidR="006A2FA0">
          <w:rPr>
            <w:noProof/>
            <w:webHidden/>
          </w:rPr>
          <w:fldChar w:fldCharType="begin"/>
        </w:r>
        <w:r w:rsidR="006A2FA0">
          <w:rPr>
            <w:noProof/>
            <w:webHidden/>
          </w:rPr>
          <w:instrText xml:space="preserve"> PAGEREF _Toc494789947 \h </w:instrText>
        </w:r>
        <w:r w:rsidR="006A2FA0">
          <w:rPr>
            <w:noProof/>
            <w:webHidden/>
          </w:rPr>
        </w:r>
        <w:r w:rsidR="006A2FA0">
          <w:rPr>
            <w:noProof/>
            <w:webHidden/>
          </w:rPr>
          <w:fldChar w:fldCharType="separate"/>
        </w:r>
        <w:r w:rsidR="006A2FA0">
          <w:rPr>
            <w:noProof/>
            <w:webHidden/>
          </w:rPr>
          <w:t>5</w:t>
        </w:r>
        <w:r w:rsidR="006A2FA0">
          <w:rPr>
            <w:noProof/>
            <w:webHidden/>
          </w:rPr>
          <w:fldChar w:fldCharType="end"/>
        </w:r>
      </w:hyperlink>
    </w:p>
    <w:p w14:paraId="305E801E"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48" w:history="1">
        <w:r w:rsidR="006A2FA0" w:rsidRPr="00205158">
          <w:rPr>
            <w:rStyle w:val="Hyperlink"/>
            <w:noProof/>
          </w:rPr>
          <w:t>2.2</w:t>
        </w:r>
        <w:r w:rsidR="006A2FA0">
          <w:rPr>
            <w:rFonts w:eastAsiaTheme="minorEastAsia" w:cstheme="minorBidi"/>
            <w:smallCaps w:val="0"/>
            <w:noProof/>
            <w:sz w:val="22"/>
            <w:szCs w:val="22"/>
            <w:lang w:eastAsia="en-GB" w:bidi="ar-SA"/>
          </w:rPr>
          <w:tab/>
        </w:r>
        <w:r w:rsidR="006A2FA0" w:rsidRPr="00205158">
          <w:rPr>
            <w:rStyle w:val="Hyperlink"/>
            <w:noProof/>
          </w:rPr>
          <w:t>Risk assessment</w:t>
        </w:r>
        <w:r w:rsidR="006A2FA0">
          <w:rPr>
            <w:noProof/>
            <w:webHidden/>
          </w:rPr>
          <w:tab/>
        </w:r>
        <w:r w:rsidR="006A2FA0">
          <w:rPr>
            <w:noProof/>
            <w:webHidden/>
          </w:rPr>
          <w:fldChar w:fldCharType="begin"/>
        </w:r>
        <w:r w:rsidR="006A2FA0">
          <w:rPr>
            <w:noProof/>
            <w:webHidden/>
          </w:rPr>
          <w:instrText xml:space="preserve"> PAGEREF _Toc494789948 \h </w:instrText>
        </w:r>
        <w:r w:rsidR="006A2FA0">
          <w:rPr>
            <w:noProof/>
            <w:webHidden/>
          </w:rPr>
        </w:r>
        <w:r w:rsidR="006A2FA0">
          <w:rPr>
            <w:noProof/>
            <w:webHidden/>
          </w:rPr>
          <w:fldChar w:fldCharType="separate"/>
        </w:r>
        <w:r w:rsidR="006A2FA0">
          <w:rPr>
            <w:noProof/>
            <w:webHidden/>
          </w:rPr>
          <w:t>9</w:t>
        </w:r>
        <w:r w:rsidR="006A2FA0">
          <w:rPr>
            <w:noProof/>
            <w:webHidden/>
          </w:rPr>
          <w:fldChar w:fldCharType="end"/>
        </w:r>
      </w:hyperlink>
    </w:p>
    <w:p w14:paraId="3465D90A"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49" w:history="1">
        <w:r w:rsidR="006A2FA0" w:rsidRPr="00205158">
          <w:rPr>
            <w:rStyle w:val="Hyperlink"/>
            <w:noProof/>
          </w:rPr>
          <w:t>2.3</w:t>
        </w:r>
        <w:r w:rsidR="006A2FA0">
          <w:rPr>
            <w:rFonts w:eastAsiaTheme="minorEastAsia" w:cstheme="minorBidi"/>
            <w:smallCaps w:val="0"/>
            <w:noProof/>
            <w:sz w:val="22"/>
            <w:szCs w:val="22"/>
            <w:lang w:eastAsia="en-GB" w:bidi="ar-SA"/>
          </w:rPr>
          <w:tab/>
        </w:r>
        <w:r w:rsidR="006A2FA0" w:rsidRPr="00205158">
          <w:rPr>
            <w:rStyle w:val="Hyperlink"/>
            <w:noProof/>
          </w:rPr>
          <w:t>Risk management</w:t>
        </w:r>
        <w:r w:rsidR="006A2FA0">
          <w:rPr>
            <w:noProof/>
            <w:webHidden/>
          </w:rPr>
          <w:tab/>
        </w:r>
        <w:r w:rsidR="006A2FA0">
          <w:rPr>
            <w:noProof/>
            <w:webHidden/>
          </w:rPr>
          <w:fldChar w:fldCharType="begin"/>
        </w:r>
        <w:r w:rsidR="006A2FA0">
          <w:rPr>
            <w:noProof/>
            <w:webHidden/>
          </w:rPr>
          <w:instrText xml:space="preserve"> PAGEREF _Toc494789949 \h </w:instrText>
        </w:r>
        <w:r w:rsidR="006A2FA0">
          <w:rPr>
            <w:noProof/>
            <w:webHidden/>
          </w:rPr>
        </w:r>
        <w:r w:rsidR="006A2FA0">
          <w:rPr>
            <w:noProof/>
            <w:webHidden/>
          </w:rPr>
          <w:fldChar w:fldCharType="separate"/>
        </w:r>
        <w:r w:rsidR="006A2FA0">
          <w:rPr>
            <w:noProof/>
            <w:webHidden/>
          </w:rPr>
          <w:t>9</w:t>
        </w:r>
        <w:r w:rsidR="006A2FA0">
          <w:rPr>
            <w:noProof/>
            <w:webHidden/>
          </w:rPr>
          <w:fldChar w:fldCharType="end"/>
        </w:r>
      </w:hyperlink>
    </w:p>
    <w:p w14:paraId="42441BD1"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50" w:history="1">
        <w:r w:rsidR="006A2FA0" w:rsidRPr="00205158">
          <w:rPr>
            <w:rStyle w:val="Hyperlink"/>
            <w:noProof/>
          </w:rPr>
          <w:t>2.3.1</w:t>
        </w:r>
        <w:r w:rsidR="006A2FA0">
          <w:rPr>
            <w:rFonts w:eastAsiaTheme="minorEastAsia" w:cstheme="minorBidi"/>
            <w:i w:val="0"/>
            <w:iCs w:val="0"/>
            <w:noProof/>
            <w:sz w:val="22"/>
            <w:szCs w:val="22"/>
            <w:lang w:eastAsia="en-GB" w:bidi="ar-SA"/>
          </w:rPr>
          <w:tab/>
        </w:r>
        <w:r w:rsidR="006A2FA0" w:rsidRPr="00205158">
          <w:rPr>
            <w:rStyle w:val="Hyperlink"/>
            <w:noProof/>
          </w:rPr>
          <w:t>Regulatory approval for enzymes</w:t>
        </w:r>
        <w:r w:rsidR="006A2FA0">
          <w:rPr>
            <w:noProof/>
            <w:webHidden/>
          </w:rPr>
          <w:tab/>
        </w:r>
        <w:r w:rsidR="006A2FA0">
          <w:rPr>
            <w:noProof/>
            <w:webHidden/>
          </w:rPr>
          <w:fldChar w:fldCharType="begin"/>
        </w:r>
        <w:r w:rsidR="006A2FA0">
          <w:rPr>
            <w:noProof/>
            <w:webHidden/>
          </w:rPr>
          <w:instrText xml:space="preserve"> PAGEREF _Toc494789950 \h </w:instrText>
        </w:r>
        <w:r w:rsidR="006A2FA0">
          <w:rPr>
            <w:noProof/>
            <w:webHidden/>
          </w:rPr>
        </w:r>
        <w:r w:rsidR="006A2FA0">
          <w:rPr>
            <w:noProof/>
            <w:webHidden/>
          </w:rPr>
          <w:fldChar w:fldCharType="separate"/>
        </w:r>
        <w:r w:rsidR="006A2FA0">
          <w:rPr>
            <w:noProof/>
            <w:webHidden/>
          </w:rPr>
          <w:t>9</w:t>
        </w:r>
        <w:r w:rsidR="006A2FA0">
          <w:rPr>
            <w:noProof/>
            <w:webHidden/>
          </w:rPr>
          <w:fldChar w:fldCharType="end"/>
        </w:r>
      </w:hyperlink>
    </w:p>
    <w:p w14:paraId="49EBE9D5"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51" w:history="1">
        <w:r w:rsidR="006A2FA0" w:rsidRPr="00205158">
          <w:rPr>
            <w:rStyle w:val="Hyperlink"/>
            <w:noProof/>
          </w:rPr>
          <w:t>2.3.2</w:t>
        </w:r>
        <w:r w:rsidR="006A2FA0">
          <w:rPr>
            <w:rFonts w:eastAsiaTheme="minorEastAsia" w:cstheme="minorBidi"/>
            <w:i w:val="0"/>
            <w:iCs w:val="0"/>
            <w:noProof/>
            <w:sz w:val="22"/>
            <w:szCs w:val="22"/>
            <w:lang w:eastAsia="en-GB" w:bidi="ar-SA"/>
          </w:rPr>
          <w:tab/>
        </w:r>
        <w:r w:rsidR="006A2FA0" w:rsidRPr="00205158">
          <w:rPr>
            <w:rStyle w:val="Hyperlink"/>
            <w:noProof/>
          </w:rPr>
          <w:t>Enzyme nomenclature</w:t>
        </w:r>
        <w:r w:rsidR="006A2FA0">
          <w:rPr>
            <w:noProof/>
            <w:webHidden/>
          </w:rPr>
          <w:tab/>
        </w:r>
        <w:r w:rsidR="006A2FA0">
          <w:rPr>
            <w:noProof/>
            <w:webHidden/>
          </w:rPr>
          <w:fldChar w:fldCharType="begin"/>
        </w:r>
        <w:r w:rsidR="006A2FA0">
          <w:rPr>
            <w:noProof/>
            <w:webHidden/>
          </w:rPr>
          <w:instrText xml:space="preserve"> PAGEREF _Toc494789951 \h </w:instrText>
        </w:r>
        <w:r w:rsidR="006A2FA0">
          <w:rPr>
            <w:noProof/>
            <w:webHidden/>
          </w:rPr>
        </w:r>
        <w:r w:rsidR="006A2FA0">
          <w:rPr>
            <w:noProof/>
            <w:webHidden/>
          </w:rPr>
          <w:fldChar w:fldCharType="separate"/>
        </w:r>
        <w:r w:rsidR="006A2FA0">
          <w:rPr>
            <w:noProof/>
            <w:webHidden/>
          </w:rPr>
          <w:t>9</w:t>
        </w:r>
        <w:r w:rsidR="006A2FA0">
          <w:rPr>
            <w:noProof/>
            <w:webHidden/>
          </w:rPr>
          <w:fldChar w:fldCharType="end"/>
        </w:r>
      </w:hyperlink>
    </w:p>
    <w:p w14:paraId="7A766019"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52" w:history="1">
        <w:r w:rsidR="006A2FA0" w:rsidRPr="00205158">
          <w:rPr>
            <w:rStyle w:val="Hyperlink"/>
            <w:noProof/>
          </w:rPr>
          <w:t>2.3.3</w:t>
        </w:r>
        <w:r w:rsidR="006A2FA0">
          <w:rPr>
            <w:rFonts w:eastAsiaTheme="minorEastAsia" w:cstheme="minorBidi"/>
            <w:i w:val="0"/>
            <w:iCs w:val="0"/>
            <w:noProof/>
            <w:sz w:val="22"/>
            <w:szCs w:val="22"/>
            <w:lang w:eastAsia="en-GB" w:bidi="ar-SA"/>
          </w:rPr>
          <w:tab/>
        </w:r>
        <w:r w:rsidR="006A2FA0" w:rsidRPr="00205158">
          <w:rPr>
            <w:rStyle w:val="Hyperlink"/>
            <w:noProof/>
          </w:rPr>
          <w:t>Labelling considerations</w:t>
        </w:r>
        <w:r w:rsidR="006A2FA0">
          <w:rPr>
            <w:noProof/>
            <w:webHidden/>
          </w:rPr>
          <w:tab/>
        </w:r>
        <w:r w:rsidR="006A2FA0">
          <w:rPr>
            <w:noProof/>
            <w:webHidden/>
          </w:rPr>
          <w:fldChar w:fldCharType="begin"/>
        </w:r>
        <w:r w:rsidR="006A2FA0">
          <w:rPr>
            <w:noProof/>
            <w:webHidden/>
          </w:rPr>
          <w:instrText xml:space="preserve"> PAGEREF _Toc494789952 \h </w:instrText>
        </w:r>
        <w:r w:rsidR="006A2FA0">
          <w:rPr>
            <w:noProof/>
            <w:webHidden/>
          </w:rPr>
        </w:r>
        <w:r w:rsidR="006A2FA0">
          <w:rPr>
            <w:noProof/>
            <w:webHidden/>
          </w:rPr>
          <w:fldChar w:fldCharType="separate"/>
        </w:r>
        <w:r w:rsidR="006A2FA0">
          <w:rPr>
            <w:noProof/>
            <w:webHidden/>
          </w:rPr>
          <w:t>10</w:t>
        </w:r>
        <w:r w:rsidR="006A2FA0">
          <w:rPr>
            <w:noProof/>
            <w:webHidden/>
          </w:rPr>
          <w:fldChar w:fldCharType="end"/>
        </w:r>
      </w:hyperlink>
    </w:p>
    <w:p w14:paraId="2A51A97A"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53" w:history="1">
        <w:r w:rsidR="006A2FA0" w:rsidRPr="00205158">
          <w:rPr>
            <w:rStyle w:val="Hyperlink"/>
            <w:noProof/>
          </w:rPr>
          <w:t>2.3.4</w:t>
        </w:r>
        <w:r w:rsidR="006A2FA0">
          <w:rPr>
            <w:rFonts w:eastAsiaTheme="minorEastAsia" w:cstheme="minorBidi"/>
            <w:i w:val="0"/>
            <w:iCs w:val="0"/>
            <w:noProof/>
            <w:sz w:val="22"/>
            <w:szCs w:val="22"/>
            <w:lang w:eastAsia="en-GB" w:bidi="ar-SA"/>
          </w:rPr>
          <w:tab/>
        </w:r>
        <w:r w:rsidR="006A2FA0" w:rsidRPr="00205158">
          <w:rPr>
            <w:rStyle w:val="Hyperlink"/>
            <w:noProof/>
          </w:rPr>
          <w:t>Risk management conclusion</w:t>
        </w:r>
        <w:r w:rsidR="006A2FA0">
          <w:rPr>
            <w:noProof/>
            <w:webHidden/>
          </w:rPr>
          <w:tab/>
        </w:r>
        <w:r w:rsidR="006A2FA0">
          <w:rPr>
            <w:noProof/>
            <w:webHidden/>
          </w:rPr>
          <w:fldChar w:fldCharType="begin"/>
        </w:r>
        <w:r w:rsidR="006A2FA0">
          <w:rPr>
            <w:noProof/>
            <w:webHidden/>
          </w:rPr>
          <w:instrText xml:space="preserve"> PAGEREF _Toc494789953 \h </w:instrText>
        </w:r>
        <w:r w:rsidR="006A2FA0">
          <w:rPr>
            <w:noProof/>
            <w:webHidden/>
          </w:rPr>
        </w:r>
        <w:r w:rsidR="006A2FA0">
          <w:rPr>
            <w:noProof/>
            <w:webHidden/>
          </w:rPr>
          <w:fldChar w:fldCharType="separate"/>
        </w:r>
        <w:r w:rsidR="006A2FA0">
          <w:rPr>
            <w:noProof/>
            <w:webHidden/>
          </w:rPr>
          <w:t>10</w:t>
        </w:r>
        <w:r w:rsidR="006A2FA0">
          <w:rPr>
            <w:noProof/>
            <w:webHidden/>
          </w:rPr>
          <w:fldChar w:fldCharType="end"/>
        </w:r>
      </w:hyperlink>
    </w:p>
    <w:p w14:paraId="19DF73AE" w14:textId="77777777" w:rsidR="006A2FA0" w:rsidRDefault="00935E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789954" w:history="1">
        <w:r w:rsidR="006A2FA0" w:rsidRPr="00205158">
          <w:rPr>
            <w:rStyle w:val="Hyperlink"/>
            <w:noProof/>
          </w:rPr>
          <w:t>3</w:t>
        </w:r>
        <w:r w:rsidR="006A2FA0">
          <w:rPr>
            <w:rFonts w:eastAsiaTheme="minorEastAsia" w:cstheme="minorBidi"/>
            <w:b w:val="0"/>
            <w:bCs w:val="0"/>
            <w:caps w:val="0"/>
            <w:noProof/>
            <w:sz w:val="22"/>
            <w:szCs w:val="22"/>
            <w:lang w:eastAsia="en-GB" w:bidi="ar-SA"/>
          </w:rPr>
          <w:tab/>
        </w:r>
        <w:r w:rsidR="006A2FA0" w:rsidRPr="00205158">
          <w:rPr>
            <w:rStyle w:val="Hyperlink"/>
            <w:noProof/>
          </w:rPr>
          <w:t>Decision</w:t>
        </w:r>
        <w:r w:rsidR="006A2FA0">
          <w:rPr>
            <w:noProof/>
            <w:webHidden/>
          </w:rPr>
          <w:tab/>
        </w:r>
        <w:r w:rsidR="006A2FA0">
          <w:rPr>
            <w:noProof/>
            <w:webHidden/>
          </w:rPr>
          <w:fldChar w:fldCharType="begin"/>
        </w:r>
        <w:r w:rsidR="006A2FA0">
          <w:rPr>
            <w:noProof/>
            <w:webHidden/>
          </w:rPr>
          <w:instrText xml:space="preserve"> PAGEREF _Toc494789954 \h </w:instrText>
        </w:r>
        <w:r w:rsidR="006A2FA0">
          <w:rPr>
            <w:noProof/>
            <w:webHidden/>
          </w:rPr>
        </w:r>
        <w:r w:rsidR="006A2FA0">
          <w:rPr>
            <w:noProof/>
            <w:webHidden/>
          </w:rPr>
          <w:fldChar w:fldCharType="separate"/>
        </w:r>
        <w:r w:rsidR="006A2FA0">
          <w:rPr>
            <w:noProof/>
            <w:webHidden/>
          </w:rPr>
          <w:t>10</w:t>
        </w:r>
        <w:r w:rsidR="006A2FA0">
          <w:rPr>
            <w:noProof/>
            <w:webHidden/>
          </w:rPr>
          <w:fldChar w:fldCharType="end"/>
        </w:r>
      </w:hyperlink>
    </w:p>
    <w:p w14:paraId="2C65A331" w14:textId="77777777" w:rsidR="006A2FA0" w:rsidRDefault="00935E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789955" w:history="1">
        <w:r w:rsidR="006A2FA0" w:rsidRPr="00205158">
          <w:rPr>
            <w:rStyle w:val="Hyperlink"/>
            <w:noProof/>
          </w:rPr>
          <w:t>4</w:t>
        </w:r>
        <w:r w:rsidR="006A2FA0">
          <w:rPr>
            <w:rFonts w:eastAsiaTheme="minorEastAsia" w:cstheme="minorBidi"/>
            <w:b w:val="0"/>
            <w:bCs w:val="0"/>
            <w:caps w:val="0"/>
            <w:noProof/>
            <w:sz w:val="22"/>
            <w:szCs w:val="22"/>
            <w:lang w:eastAsia="en-GB" w:bidi="ar-SA"/>
          </w:rPr>
          <w:tab/>
        </w:r>
        <w:r w:rsidR="006A2FA0" w:rsidRPr="00205158">
          <w:rPr>
            <w:rStyle w:val="Hyperlink"/>
            <w:noProof/>
          </w:rPr>
          <w:t>Risk communication</w:t>
        </w:r>
        <w:r w:rsidR="006A2FA0">
          <w:rPr>
            <w:noProof/>
            <w:webHidden/>
          </w:rPr>
          <w:tab/>
        </w:r>
        <w:r w:rsidR="006A2FA0">
          <w:rPr>
            <w:noProof/>
            <w:webHidden/>
          </w:rPr>
          <w:fldChar w:fldCharType="begin"/>
        </w:r>
        <w:r w:rsidR="006A2FA0">
          <w:rPr>
            <w:noProof/>
            <w:webHidden/>
          </w:rPr>
          <w:instrText xml:space="preserve"> PAGEREF _Toc494789955 \h </w:instrText>
        </w:r>
        <w:r w:rsidR="006A2FA0">
          <w:rPr>
            <w:noProof/>
            <w:webHidden/>
          </w:rPr>
        </w:r>
        <w:r w:rsidR="006A2FA0">
          <w:rPr>
            <w:noProof/>
            <w:webHidden/>
          </w:rPr>
          <w:fldChar w:fldCharType="separate"/>
        </w:r>
        <w:r w:rsidR="006A2FA0">
          <w:rPr>
            <w:noProof/>
            <w:webHidden/>
          </w:rPr>
          <w:t>10</w:t>
        </w:r>
        <w:r w:rsidR="006A2FA0">
          <w:rPr>
            <w:noProof/>
            <w:webHidden/>
          </w:rPr>
          <w:fldChar w:fldCharType="end"/>
        </w:r>
      </w:hyperlink>
    </w:p>
    <w:p w14:paraId="5232657E"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56" w:history="1">
        <w:r w:rsidR="006A2FA0" w:rsidRPr="00205158">
          <w:rPr>
            <w:rStyle w:val="Hyperlink"/>
            <w:noProof/>
          </w:rPr>
          <w:t>4.1</w:t>
        </w:r>
        <w:r w:rsidR="006A2FA0">
          <w:rPr>
            <w:rFonts w:eastAsiaTheme="minorEastAsia" w:cstheme="minorBidi"/>
            <w:smallCaps w:val="0"/>
            <w:noProof/>
            <w:sz w:val="22"/>
            <w:szCs w:val="22"/>
            <w:lang w:eastAsia="en-GB" w:bidi="ar-SA"/>
          </w:rPr>
          <w:tab/>
        </w:r>
        <w:r w:rsidR="006A2FA0" w:rsidRPr="00205158">
          <w:rPr>
            <w:rStyle w:val="Hyperlink"/>
            <w:noProof/>
          </w:rPr>
          <w:t>Consultation</w:t>
        </w:r>
        <w:r w:rsidR="006A2FA0">
          <w:rPr>
            <w:noProof/>
            <w:webHidden/>
          </w:rPr>
          <w:tab/>
        </w:r>
        <w:r w:rsidR="006A2FA0">
          <w:rPr>
            <w:noProof/>
            <w:webHidden/>
          </w:rPr>
          <w:fldChar w:fldCharType="begin"/>
        </w:r>
        <w:r w:rsidR="006A2FA0">
          <w:rPr>
            <w:noProof/>
            <w:webHidden/>
          </w:rPr>
          <w:instrText xml:space="preserve"> PAGEREF _Toc494789956 \h </w:instrText>
        </w:r>
        <w:r w:rsidR="006A2FA0">
          <w:rPr>
            <w:noProof/>
            <w:webHidden/>
          </w:rPr>
        </w:r>
        <w:r w:rsidR="006A2FA0">
          <w:rPr>
            <w:noProof/>
            <w:webHidden/>
          </w:rPr>
          <w:fldChar w:fldCharType="separate"/>
        </w:r>
        <w:r w:rsidR="006A2FA0">
          <w:rPr>
            <w:noProof/>
            <w:webHidden/>
          </w:rPr>
          <w:t>10</w:t>
        </w:r>
        <w:r w:rsidR="006A2FA0">
          <w:rPr>
            <w:noProof/>
            <w:webHidden/>
          </w:rPr>
          <w:fldChar w:fldCharType="end"/>
        </w:r>
      </w:hyperlink>
    </w:p>
    <w:p w14:paraId="726C72AE" w14:textId="77777777" w:rsidR="006A2FA0" w:rsidRDefault="00935E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789957" w:history="1">
        <w:r w:rsidR="006A2FA0" w:rsidRPr="00205158">
          <w:rPr>
            <w:rStyle w:val="Hyperlink"/>
            <w:noProof/>
          </w:rPr>
          <w:t>5</w:t>
        </w:r>
        <w:r w:rsidR="006A2FA0">
          <w:rPr>
            <w:rFonts w:eastAsiaTheme="minorEastAsia" w:cstheme="minorBidi"/>
            <w:b w:val="0"/>
            <w:bCs w:val="0"/>
            <w:caps w:val="0"/>
            <w:noProof/>
            <w:sz w:val="22"/>
            <w:szCs w:val="22"/>
            <w:lang w:eastAsia="en-GB" w:bidi="ar-SA"/>
          </w:rPr>
          <w:tab/>
        </w:r>
        <w:r w:rsidR="006A2FA0" w:rsidRPr="00205158">
          <w:rPr>
            <w:rStyle w:val="Hyperlink"/>
            <w:noProof/>
          </w:rPr>
          <w:t>FSANZ Act assessment requirements</w:t>
        </w:r>
        <w:r w:rsidR="006A2FA0">
          <w:rPr>
            <w:noProof/>
            <w:webHidden/>
          </w:rPr>
          <w:tab/>
        </w:r>
        <w:r w:rsidR="006A2FA0">
          <w:rPr>
            <w:noProof/>
            <w:webHidden/>
          </w:rPr>
          <w:fldChar w:fldCharType="begin"/>
        </w:r>
        <w:r w:rsidR="006A2FA0">
          <w:rPr>
            <w:noProof/>
            <w:webHidden/>
          </w:rPr>
          <w:instrText xml:space="preserve"> PAGEREF _Toc494789957 \h </w:instrText>
        </w:r>
        <w:r w:rsidR="006A2FA0">
          <w:rPr>
            <w:noProof/>
            <w:webHidden/>
          </w:rPr>
        </w:r>
        <w:r w:rsidR="006A2FA0">
          <w:rPr>
            <w:noProof/>
            <w:webHidden/>
          </w:rPr>
          <w:fldChar w:fldCharType="separate"/>
        </w:r>
        <w:r w:rsidR="006A2FA0">
          <w:rPr>
            <w:noProof/>
            <w:webHidden/>
          </w:rPr>
          <w:t>11</w:t>
        </w:r>
        <w:r w:rsidR="006A2FA0">
          <w:rPr>
            <w:noProof/>
            <w:webHidden/>
          </w:rPr>
          <w:fldChar w:fldCharType="end"/>
        </w:r>
      </w:hyperlink>
    </w:p>
    <w:p w14:paraId="45786A3B"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58" w:history="1">
        <w:r w:rsidR="006A2FA0" w:rsidRPr="00205158">
          <w:rPr>
            <w:rStyle w:val="Hyperlink"/>
            <w:noProof/>
          </w:rPr>
          <w:t>5.1</w:t>
        </w:r>
        <w:r w:rsidR="006A2FA0">
          <w:rPr>
            <w:rFonts w:eastAsiaTheme="minorEastAsia" w:cstheme="minorBidi"/>
            <w:smallCaps w:val="0"/>
            <w:noProof/>
            <w:sz w:val="22"/>
            <w:szCs w:val="22"/>
            <w:lang w:eastAsia="en-GB" w:bidi="ar-SA"/>
          </w:rPr>
          <w:tab/>
        </w:r>
        <w:r w:rsidR="006A2FA0" w:rsidRPr="00205158">
          <w:rPr>
            <w:rStyle w:val="Hyperlink"/>
            <w:noProof/>
          </w:rPr>
          <w:t>Section 29</w:t>
        </w:r>
        <w:r w:rsidR="006A2FA0">
          <w:rPr>
            <w:noProof/>
            <w:webHidden/>
          </w:rPr>
          <w:tab/>
        </w:r>
        <w:r w:rsidR="006A2FA0">
          <w:rPr>
            <w:noProof/>
            <w:webHidden/>
          </w:rPr>
          <w:fldChar w:fldCharType="begin"/>
        </w:r>
        <w:r w:rsidR="006A2FA0">
          <w:rPr>
            <w:noProof/>
            <w:webHidden/>
          </w:rPr>
          <w:instrText xml:space="preserve"> PAGEREF _Toc494789958 \h </w:instrText>
        </w:r>
        <w:r w:rsidR="006A2FA0">
          <w:rPr>
            <w:noProof/>
            <w:webHidden/>
          </w:rPr>
        </w:r>
        <w:r w:rsidR="006A2FA0">
          <w:rPr>
            <w:noProof/>
            <w:webHidden/>
          </w:rPr>
          <w:fldChar w:fldCharType="separate"/>
        </w:r>
        <w:r w:rsidR="006A2FA0">
          <w:rPr>
            <w:noProof/>
            <w:webHidden/>
          </w:rPr>
          <w:t>11</w:t>
        </w:r>
        <w:r w:rsidR="006A2FA0">
          <w:rPr>
            <w:noProof/>
            <w:webHidden/>
          </w:rPr>
          <w:fldChar w:fldCharType="end"/>
        </w:r>
      </w:hyperlink>
    </w:p>
    <w:p w14:paraId="37903E5D"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59" w:history="1">
        <w:r w:rsidR="006A2FA0" w:rsidRPr="00205158">
          <w:rPr>
            <w:rStyle w:val="Hyperlink"/>
            <w:noProof/>
          </w:rPr>
          <w:t>5.1.1</w:t>
        </w:r>
        <w:r w:rsidR="006A2FA0">
          <w:rPr>
            <w:rFonts w:eastAsiaTheme="minorEastAsia" w:cstheme="minorBidi"/>
            <w:i w:val="0"/>
            <w:iCs w:val="0"/>
            <w:noProof/>
            <w:sz w:val="22"/>
            <w:szCs w:val="22"/>
            <w:lang w:eastAsia="en-GB" w:bidi="ar-SA"/>
          </w:rPr>
          <w:tab/>
        </w:r>
        <w:r w:rsidR="006A2FA0" w:rsidRPr="00205158">
          <w:rPr>
            <w:rStyle w:val="Hyperlink"/>
            <w:noProof/>
          </w:rPr>
          <w:t>Consideration of costs and benefits</w:t>
        </w:r>
        <w:r w:rsidR="006A2FA0">
          <w:rPr>
            <w:noProof/>
            <w:webHidden/>
          </w:rPr>
          <w:tab/>
        </w:r>
        <w:r w:rsidR="006A2FA0">
          <w:rPr>
            <w:noProof/>
            <w:webHidden/>
          </w:rPr>
          <w:fldChar w:fldCharType="begin"/>
        </w:r>
        <w:r w:rsidR="006A2FA0">
          <w:rPr>
            <w:noProof/>
            <w:webHidden/>
          </w:rPr>
          <w:instrText xml:space="preserve"> PAGEREF _Toc494789959 \h </w:instrText>
        </w:r>
        <w:r w:rsidR="006A2FA0">
          <w:rPr>
            <w:noProof/>
            <w:webHidden/>
          </w:rPr>
        </w:r>
        <w:r w:rsidR="006A2FA0">
          <w:rPr>
            <w:noProof/>
            <w:webHidden/>
          </w:rPr>
          <w:fldChar w:fldCharType="separate"/>
        </w:r>
        <w:r w:rsidR="006A2FA0">
          <w:rPr>
            <w:noProof/>
            <w:webHidden/>
          </w:rPr>
          <w:t>11</w:t>
        </w:r>
        <w:r w:rsidR="006A2FA0">
          <w:rPr>
            <w:noProof/>
            <w:webHidden/>
          </w:rPr>
          <w:fldChar w:fldCharType="end"/>
        </w:r>
      </w:hyperlink>
    </w:p>
    <w:p w14:paraId="33B542F6"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60" w:history="1">
        <w:r w:rsidR="006A2FA0" w:rsidRPr="00205158">
          <w:rPr>
            <w:rStyle w:val="Hyperlink"/>
            <w:noProof/>
          </w:rPr>
          <w:t>5.1.2</w:t>
        </w:r>
        <w:r w:rsidR="006A2FA0">
          <w:rPr>
            <w:rFonts w:eastAsiaTheme="minorEastAsia" w:cstheme="minorBidi"/>
            <w:i w:val="0"/>
            <w:iCs w:val="0"/>
            <w:noProof/>
            <w:sz w:val="22"/>
            <w:szCs w:val="22"/>
            <w:lang w:eastAsia="en-GB" w:bidi="ar-SA"/>
          </w:rPr>
          <w:tab/>
        </w:r>
        <w:r w:rsidR="006A2FA0" w:rsidRPr="00205158">
          <w:rPr>
            <w:rStyle w:val="Hyperlink"/>
            <w:noProof/>
          </w:rPr>
          <w:t>Other measures</w:t>
        </w:r>
        <w:r w:rsidR="006A2FA0">
          <w:rPr>
            <w:noProof/>
            <w:webHidden/>
          </w:rPr>
          <w:tab/>
        </w:r>
        <w:r w:rsidR="006A2FA0">
          <w:rPr>
            <w:noProof/>
            <w:webHidden/>
          </w:rPr>
          <w:fldChar w:fldCharType="begin"/>
        </w:r>
        <w:r w:rsidR="006A2FA0">
          <w:rPr>
            <w:noProof/>
            <w:webHidden/>
          </w:rPr>
          <w:instrText xml:space="preserve"> PAGEREF _Toc494789960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4BD6B4A7"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61" w:history="1">
        <w:r w:rsidR="006A2FA0" w:rsidRPr="00205158">
          <w:rPr>
            <w:rStyle w:val="Hyperlink"/>
            <w:noProof/>
          </w:rPr>
          <w:t>5.1.3</w:t>
        </w:r>
        <w:r w:rsidR="006A2FA0">
          <w:rPr>
            <w:rFonts w:eastAsiaTheme="minorEastAsia" w:cstheme="minorBidi"/>
            <w:i w:val="0"/>
            <w:iCs w:val="0"/>
            <w:noProof/>
            <w:sz w:val="22"/>
            <w:szCs w:val="22"/>
            <w:lang w:eastAsia="en-GB" w:bidi="ar-SA"/>
          </w:rPr>
          <w:tab/>
        </w:r>
        <w:r w:rsidR="006A2FA0" w:rsidRPr="00205158">
          <w:rPr>
            <w:rStyle w:val="Hyperlink"/>
            <w:noProof/>
          </w:rPr>
          <w:t>Any relevant New Zealand standards</w:t>
        </w:r>
        <w:r w:rsidR="006A2FA0">
          <w:rPr>
            <w:noProof/>
            <w:webHidden/>
          </w:rPr>
          <w:tab/>
        </w:r>
        <w:r w:rsidR="006A2FA0">
          <w:rPr>
            <w:noProof/>
            <w:webHidden/>
          </w:rPr>
          <w:fldChar w:fldCharType="begin"/>
        </w:r>
        <w:r w:rsidR="006A2FA0">
          <w:rPr>
            <w:noProof/>
            <w:webHidden/>
          </w:rPr>
          <w:instrText xml:space="preserve"> PAGEREF _Toc494789961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06DD49FB"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62" w:history="1">
        <w:r w:rsidR="006A2FA0" w:rsidRPr="00205158">
          <w:rPr>
            <w:rStyle w:val="Hyperlink"/>
            <w:noProof/>
          </w:rPr>
          <w:t>5.1.4</w:t>
        </w:r>
        <w:r w:rsidR="006A2FA0">
          <w:rPr>
            <w:rFonts w:eastAsiaTheme="minorEastAsia" w:cstheme="minorBidi"/>
            <w:i w:val="0"/>
            <w:iCs w:val="0"/>
            <w:noProof/>
            <w:sz w:val="22"/>
            <w:szCs w:val="22"/>
            <w:lang w:eastAsia="en-GB" w:bidi="ar-SA"/>
          </w:rPr>
          <w:tab/>
        </w:r>
        <w:r w:rsidR="006A2FA0" w:rsidRPr="00205158">
          <w:rPr>
            <w:rStyle w:val="Hyperlink"/>
            <w:noProof/>
          </w:rPr>
          <w:t>Any other relevant matters</w:t>
        </w:r>
        <w:r w:rsidR="006A2FA0">
          <w:rPr>
            <w:noProof/>
            <w:webHidden/>
          </w:rPr>
          <w:tab/>
        </w:r>
        <w:r w:rsidR="006A2FA0">
          <w:rPr>
            <w:noProof/>
            <w:webHidden/>
          </w:rPr>
          <w:fldChar w:fldCharType="begin"/>
        </w:r>
        <w:r w:rsidR="006A2FA0">
          <w:rPr>
            <w:noProof/>
            <w:webHidden/>
          </w:rPr>
          <w:instrText xml:space="preserve"> PAGEREF _Toc494789962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726BD774"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63" w:history="1">
        <w:r w:rsidR="006A2FA0" w:rsidRPr="00205158">
          <w:rPr>
            <w:rStyle w:val="Hyperlink"/>
            <w:noProof/>
          </w:rPr>
          <w:t>5.2.</w:t>
        </w:r>
        <w:r w:rsidR="006A2FA0">
          <w:rPr>
            <w:rFonts w:eastAsiaTheme="minorEastAsia" w:cstheme="minorBidi"/>
            <w:smallCaps w:val="0"/>
            <w:noProof/>
            <w:sz w:val="22"/>
            <w:szCs w:val="22"/>
            <w:lang w:eastAsia="en-GB" w:bidi="ar-SA"/>
          </w:rPr>
          <w:tab/>
        </w:r>
        <w:r w:rsidR="006A2FA0" w:rsidRPr="00205158">
          <w:rPr>
            <w:rStyle w:val="Hyperlink"/>
            <w:noProof/>
          </w:rPr>
          <w:t>Subsection 18(1)</w:t>
        </w:r>
        <w:r w:rsidR="006A2FA0">
          <w:rPr>
            <w:noProof/>
            <w:webHidden/>
          </w:rPr>
          <w:tab/>
        </w:r>
        <w:r w:rsidR="006A2FA0">
          <w:rPr>
            <w:noProof/>
            <w:webHidden/>
          </w:rPr>
          <w:fldChar w:fldCharType="begin"/>
        </w:r>
        <w:r w:rsidR="006A2FA0">
          <w:rPr>
            <w:noProof/>
            <w:webHidden/>
          </w:rPr>
          <w:instrText xml:space="preserve"> PAGEREF _Toc494789963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2E3582F7"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64" w:history="1">
        <w:r w:rsidR="006A2FA0" w:rsidRPr="00205158">
          <w:rPr>
            <w:rStyle w:val="Hyperlink"/>
            <w:noProof/>
          </w:rPr>
          <w:t>5.2.1</w:t>
        </w:r>
        <w:r w:rsidR="006A2FA0">
          <w:rPr>
            <w:rFonts w:eastAsiaTheme="minorEastAsia" w:cstheme="minorBidi"/>
            <w:i w:val="0"/>
            <w:iCs w:val="0"/>
            <w:noProof/>
            <w:sz w:val="22"/>
            <w:szCs w:val="22"/>
            <w:lang w:eastAsia="en-GB" w:bidi="ar-SA"/>
          </w:rPr>
          <w:tab/>
        </w:r>
        <w:r w:rsidR="006A2FA0" w:rsidRPr="00205158">
          <w:rPr>
            <w:rStyle w:val="Hyperlink"/>
            <w:noProof/>
          </w:rPr>
          <w:t>Protection of public health and safety</w:t>
        </w:r>
        <w:r w:rsidR="006A2FA0">
          <w:rPr>
            <w:noProof/>
            <w:webHidden/>
          </w:rPr>
          <w:tab/>
        </w:r>
        <w:r w:rsidR="006A2FA0">
          <w:rPr>
            <w:noProof/>
            <w:webHidden/>
          </w:rPr>
          <w:fldChar w:fldCharType="begin"/>
        </w:r>
        <w:r w:rsidR="006A2FA0">
          <w:rPr>
            <w:noProof/>
            <w:webHidden/>
          </w:rPr>
          <w:instrText xml:space="preserve"> PAGEREF _Toc494789964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55EE00F1" w14:textId="5162839E"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65" w:history="1">
        <w:r w:rsidR="006A2FA0" w:rsidRPr="00205158">
          <w:rPr>
            <w:rStyle w:val="Hyperlink"/>
            <w:noProof/>
          </w:rPr>
          <w:t>5.2.2</w:t>
        </w:r>
        <w:r w:rsidR="006A2FA0">
          <w:rPr>
            <w:rFonts w:eastAsiaTheme="minorEastAsia" w:cstheme="minorBidi"/>
            <w:i w:val="0"/>
            <w:iCs w:val="0"/>
            <w:noProof/>
            <w:sz w:val="22"/>
            <w:szCs w:val="22"/>
            <w:lang w:eastAsia="en-GB" w:bidi="ar-SA"/>
          </w:rPr>
          <w:tab/>
        </w:r>
        <w:r w:rsidR="006A2FA0" w:rsidRPr="00205158">
          <w:rPr>
            <w:rStyle w:val="Hyperlink"/>
            <w:noProof/>
          </w:rPr>
          <w:t>The provision of adequate information relating to food to enable consumers to make informed choices</w:t>
        </w:r>
        <w:r w:rsidR="006A2FA0">
          <w:rPr>
            <w:noProof/>
            <w:webHidden/>
          </w:rPr>
          <w:tab/>
        </w:r>
        <w:r w:rsidR="005B2996">
          <w:rPr>
            <w:noProof/>
            <w:webHidden/>
          </w:rPr>
          <w:tab/>
        </w:r>
        <w:r w:rsidR="006A2FA0">
          <w:rPr>
            <w:noProof/>
            <w:webHidden/>
          </w:rPr>
          <w:fldChar w:fldCharType="begin"/>
        </w:r>
        <w:r w:rsidR="006A2FA0">
          <w:rPr>
            <w:noProof/>
            <w:webHidden/>
          </w:rPr>
          <w:instrText xml:space="preserve"> PAGEREF _Toc494789965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26A6F4C5" w14:textId="77777777" w:rsidR="006A2FA0" w:rsidRDefault="00935EF8">
      <w:pPr>
        <w:pStyle w:val="TOC3"/>
        <w:tabs>
          <w:tab w:val="left" w:pos="1100"/>
          <w:tab w:val="right" w:leader="dot" w:pos="9060"/>
        </w:tabs>
        <w:rPr>
          <w:rFonts w:eastAsiaTheme="minorEastAsia" w:cstheme="minorBidi"/>
          <w:i w:val="0"/>
          <w:iCs w:val="0"/>
          <w:noProof/>
          <w:sz w:val="22"/>
          <w:szCs w:val="22"/>
          <w:lang w:eastAsia="en-GB" w:bidi="ar-SA"/>
        </w:rPr>
      </w:pPr>
      <w:hyperlink w:anchor="_Toc494789966" w:history="1">
        <w:r w:rsidR="006A2FA0" w:rsidRPr="00205158">
          <w:rPr>
            <w:rStyle w:val="Hyperlink"/>
            <w:noProof/>
          </w:rPr>
          <w:t>5.2.3</w:t>
        </w:r>
        <w:r w:rsidR="006A2FA0">
          <w:rPr>
            <w:rFonts w:eastAsiaTheme="minorEastAsia" w:cstheme="minorBidi"/>
            <w:i w:val="0"/>
            <w:iCs w:val="0"/>
            <w:noProof/>
            <w:sz w:val="22"/>
            <w:szCs w:val="22"/>
            <w:lang w:eastAsia="en-GB" w:bidi="ar-SA"/>
          </w:rPr>
          <w:tab/>
        </w:r>
        <w:r w:rsidR="006A2FA0" w:rsidRPr="00205158">
          <w:rPr>
            <w:rStyle w:val="Hyperlink"/>
            <w:noProof/>
          </w:rPr>
          <w:t>The prevention of misleading or deceptive conduct</w:t>
        </w:r>
        <w:r w:rsidR="006A2FA0">
          <w:rPr>
            <w:noProof/>
            <w:webHidden/>
          </w:rPr>
          <w:tab/>
        </w:r>
        <w:r w:rsidR="006A2FA0">
          <w:rPr>
            <w:noProof/>
            <w:webHidden/>
          </w:rPr>
          <w:fldChar w:fldCharType="begin"/>
        </w:r>
        <w:r w:rsidR="006A2FA0">
          <w:rPr>
            <w:noProof/>
            <w:webHidden/>
          </w:rPr>
          <w:instrText xml:space="preserve"> PAGEREF _Toc494789966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6E08ED86" w14:textId="77777777" w:rsidR="006A2FA0" w:rsidRDefault="00935EF8">
      <w:pPr>
        <w:pStyle w:val="TOC2"/>
        <w:tabs>
          <w:tab w:val="left" w:pos="880"/>
          <w:tab w:val="right" w:leader="dot" w:pos="9060"/>
        </w:tabs>
        <w:rPr>
          <w:rFonts w:eastAsiaTheme="minorEastAsia" w:cstheme="minorBidi"/>
          <w:smallCaps w:val="0"/>
          <w:noProof/>
          <w:sz w:val="22"/>
          <w:szCs w:val="22"/>
          <w:lang w:eastAsia="en-GB" w:bidi="ar-SA"/>
        </w:rPr>
      </w:pPr>
      <w:hyperlink w:anchor="_Toc494789967" w:history="1">
        <w:r w:rsidR="006A2FA0" w:rsidRPr="00205158">
          <w:rPr>
            <w:rStyle w:val="Hyperlink"/>
            <w:noProof/>
            <w:lang w:eastAsia="en-AU"/>
          </w:rPr>
          <w:t>5.3</w:t>
        </w:r>
        <w:r w:rsidR="006A2FA0">
          <w:rPr>
            <w:rFonts w:eastAsiaTheme="minorEastAsia" w:cstheme="minorBidi"/>
            <w:smallCaps w:val="0"/>
            <w:noProof/>
            <w:sz w:val="22"/>
            <w:szCs w:val="22"/>
            <w:lang w:eastAsia="en-GB" w:bidi="ar-SA"/>
          </w:rPr>
          <w:tab/>
        </w:r>
        <w:r w:rsidR="006A2FA0" w:rsidRPr="00205158">
          <w:rPr>
            <w:rStyle w:val="Hyperlink"/>
            <w:noProof/>
            <w:lang w:eastAsia="en-AU"/>
          </w:rPr>
          <w:t>Subsection 18(2) considerations</w:t>
        </w:r>
        <w:r w:rsidR="006A2FA0">
          <w:rPr>
            <w:noProof/>
            <w:webHidden/>
          </w:rPr>
          <w:tab/>
        </w:r>
        <w:r w:rsidR="006A2FA0">
          <w:rPr>
            <w:noProof/>
            <w:webHidden/>
          </w:rPr>
          <w:fldChar w:fldCharType="begin"/>
        </w:r>
        <w:r w:rsidR="006A2FA0">
          <w:rPr>
            <w:noProof/>
            <w:webHidden/>
          </w:rPr>
          <w:instrText xml:space="preserve"> PAGEREF _Toc494789967 \h </w:instrText>
        </w:r>
        <w:r w:rsidR="006A2FA0">
          <w:rPr>
            <w:noProof/>
            <w:webHidden/>
          </w:rPr>
        </w:r>
        <w:r w:rsidR="006A2FA0">
          <w:rPr>
            <w:noProof/>
            <w:webHidden/>
          </w:rPr>
          <w:fldChar w:fldCharType="separate"/>
        </w:r>
        <w:r w:rsidR="006A2FA0">
          <w:rPr>
            <w:noProof/>
            <w:webHidden/>
          </w:rPr>
          <w:t>12</w:t>
        </w:r>
        <w:r w:rsidR="006A2FA0">
          <w:rPr>
            <w:noProof/>
            <w:webHidden/>
          </w:rPr>
          <w:fldChar w:fldCharType="end"/>
        </w:r>
      </w:hyperlink>
    </w:p>
    <w:p w14:paraId="678D2437" w14:textId="77777777" w:rsidR="006A2FA0" w:rsidRDefault="00935E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4789968" w:history="1">
        <w:r w:rsidR="006A2FA0" w:rsidRPr="00205158">
          <w:rPr>
            <w:rStyle w:val="Hyperlink"/>
            <w:noProof/>
          </w:rPr>
          <w:t>6</w:t>
        </w:r>
        <w:r w:rsidR="006A2FA0">
          <w:rPr>
            <w:rFonts w:eastAsiaTheme="minorEastAsia" w:cstheme="minorBidi"/>
            <w:b w:val="0"/>
            <w:bCs w:val="0"/>
            <w:caps w:val="0"/>
            <w:noProof/>
            <w:sz w:val="22"/>
            <w:szCs w:val="22"/>
            <w:lang w:eastAsia="en-GB" w:bidi="ar-SA"/>
          </w:rPr>
          <w:tab/>
        </w:r>
        <w:r w:rsidR="006A2FA0" w:rsidRPr="00205158">
          <w:rPr>
            <w:rStyle w:val="Hyperlink"/>
            <w:noProof/>
          </w:rPr>
          <w:t>References</w:t>
        </w:r>
        <w:r w:rsidR="006A2FA0">
          <w:rPr>
            <w:noProof/>
            <w:webHidden/>
          </w:rPr>
          <w:tab/>
        </w:r>
        <w:r w:rsidR="006A2FA0">
          <w:rPr>
            <w:noProof/>
            <w:webHidden/>
          </w:rPr>
          <w:fldChar w:fldCharType="begin"/>
        </w:r>
        <w:r w:rsidR="006A2FA0">
          <w:rPr>
            <w:noProof/>
            <w:webHidden/>
          </w:rPr>
          <w:instrText xml:space="preserve"> PAGEREF _Toc494789968 \h </w:instrText>
        </w:r>
        <w:r w:rsidR="006A2FA0">
          <w:rPr>
            <w:noProof/>
            <w:webHidden/>
          </w:rPr>
        </w:r>
        <w:r w:rsidR="006A2FA0">
          <w:rPr>
            <w:noProof/>
            <w:webHidden/>
          </w:rPr>
          <w:fldChar w:fldCharType="separate"/>
        </w:r>
        <w:r w:rsidR="006A2FA0">
          <w:rPr>
            <w:noProof/>
            <w:webHidden/>
          </w:rPr>
          <w:t>13</w:t>
        </w:r>
        <w:r w:rsidR="006A2FA0">
          <w:rPr>
            <w:noProof/>
            <w:webHidden/>
          </w:rPr>
          <w:fldChar w:fldCharType="end"/>
        </w:r>
      </w:hyperlink>
    </w:p>
    <w:p w14:paraId="2CB33975" w14:textId="77777777" w:rsidR="006A2FA0" w:rsidRDefault="00935EF8">
      <w:pPr>
        <w:pStyle w:val="TOC2"/>
        <w:tabs>
          <w:tab w:val="right" w:leader="dot" w:pos="9060"/>
        </w:tabs>
        <w:rPr>
          <w:rFonts w:eastAsiaTheme="minorEastAsia" w:cstheme="minorBidi"/>
          <w:smallCaps w:val="0"/>
          <w:noProof/>
          <w:sz w:val="22"/>
          <w:szCs w:val="22"/>
          <w:lang w:eastAsia="en-GB" w:bidi="ar-SA"/>
        </w:rPr>
      </w:pPr>
      <w:hyperlink w:anchor="_Toc494789969" w:history="1">
        <w:r w:rsidR="006A2FA0" w:rsidRPr="00205158">
          <w:rPr>
            <w:rStyle w:val="Hyperlink"/>
            <w:noProof/>
          </w:rPr>
          <w:t xml:space="preserve">Attachment A – Approved draft variation to the </w:t>
        </w:r>
        <w:r w:rsidR="006A2FA0" w:rsidRPr="00205158">
          <w:rPr>
            <w:rStyle w:val="Hyperlink"/>
            <w:i/>
            <w:noProof/>
          </w:rPr>
          <w:t>Australia New Zealand Food Standards Code</w:t>
        </w:r>
        <w:r w:rsidR="006A2FA0">
          <w:rPr>
            <w:noProof/>
            <w:webHidden/>
          </w:rPr>
          <w:tab/>
        </w:r>
        <w:r w:rsidR="006A2FA0">
          <w:rPr>
            <w:noProof/>
            <w:webHidden/>
          </w:rPr>
          <w:fldChar w:fldCharType="begin"/>
        </w:r>
        <w:r w:rsidR="006A2FA0">
          <w:rPr>
            <w:noProof/>
            <w:webHidden/>
          </w:rPr>
          <w:instrText xml:space="preserve"> PAGEREF _Toc494789969 \h </w:instrText>
        </w:r>
        <w:r w:rsidR="006A2FA0">
          <w:rPr>
            <w:noProof/>
            <w:webHidden/>
          </w:rPr>
        </w:r>
        <w:r w:rsidR="006A2FA0">
          <w:rPr>
            <w:noProof/>
            <w:webHidden/>
          </w:rPr>
          <w:fldChar w:fldCharType="separate"/>
        </w:r>
        <w:r w:rsidR="006A2FA0">
          <w:rPr>
            <w:noProof/>
            <w:webHidden/>
          </w:rPr>
          <w:t>15</w:t>
        </w:r>
        <w:r w:rsidR="006A2FA0">
          <w:rPr>
            <w:noProof/>
            <w:webHidden/>
          </w:rPr>
          <w:fldChar w:fldCharType="end"/>
        </w:r>
      </w:hyperlink>
    </w:p>
    <w:p w14:paraId="72B0116C" w14:textId="77777777" w:rsidR="006A2FA0" w:rsidRDefault="00935EF8">
      <w:pPr>
        <w:pStyle w:val="TOC2"/>
        <w:tabs>
          <w:tab w:val="right" w:leader="dot" w:pos="9060"/>
        </w:tabs>
        <w:rPr>
          <w:rFonts w:eastAsiaTheme="minorEastAsia" w:cstheme="minorBidi"/>
          <w:smallCaps w:val="0"/>
          <w:noProof/>
          <w:sz w:val="22"/>
          <w:szCs w:val="22"/>
          <w:lang w:eastAsia="en-GB" w:bidi="ar-SA"/>
        </w:rPr>
      </w:pPr>
      <w:hyperlink w:anchor="_Toc494789970" w:history="1">
        <w:r w:rsidR="006A2FA0" w:rsidRPr="00205158">
          <w:rPr>
            <w:rStyle w:val="Hyperlink"/>
            <w:noProof/>
          </w:rPr>
          <w:t>Attachment B – Explanatory Statement</w:t>
        </w:r>
        <w:r w:rsidR="006A2FA0">
          <w:rPr>
            <w:noProof/>
            <w:webHidden/>
          </w:rPr>
          <w:tab/>
        </w:r>
        <w:r w:rsidR="006A2FA0">
          <w:rPr>
            <w:noProof/>
            <w:webHidden/>
          </w:rPr>
          <w:fldChar w:fldCharType="begin"/>
        </w:r>
        <w:r w:rsidR="006A2FA0">
          <w:rPr>
            <w:noProof/>
            <w:webHidden/>
          </w:rPr>
          <w:instrText xml:space="preserve"> PAGEREF _Toc494789970 \h </w:instrText>
        </w:r>
        <w:r w:rsidR="006A2FA0">
          <w:rPr>
            <w:noProof/>
            <w:webHidden/>
          </w:rPr>
        </w:r>
        <w:r w:rsidR="006A2FA0">
          <w:rPr>
            <w:noProof/>
            <w:webHidden/>
          </w:rPr>
          <w:fldChar w:fldCharType="separate"/>
        </w:r>
        <w:r w:rsidR="006A2FA0">
          <w:rPr>
            <w:noProof/>
            <w:webHidden/>
          </w:rPr>
          <w:t>17</w:t>
        </w:r>
        <w:r w:rsidR="006A2FA0">
          <w:rPr>
            <w:noProof/>
            <w:webHidden/>
          </w:rPr>
          <w:fldChar w:fldCharType="end"/>
        </w:r>
      </w:hyperlink>
    </w:p>
    <w:p w14:paraId="4180988C" w14:textId="77777777" w:rsidR="0012388D" w:rsidRDefault="00B55714" w:rsidP="00C91C02">
      <w:r w:rsidRPr="00346622">
        <w:rPr>
          <w:rFonts w:cs="Arial"/>
          <w:sz w:val="20"/>
          <w:szCs w:val="20"/>
        </w:rPr>
        <w:fldChar w:fldCharType="end"/>
      </w:r>
    </w:p>
    <w:p w14:paraId="7D691B62" w14:textId="77777777" w:rsidR="007F7BF7" w:rsidRDefault="007F7BF7" w:rsidP="00CA5734"/>
    <w:p w14:paraId="444C675A" w14:textId="4956FB1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4225BEFD" w14:textId="77777777" w:rsidR="00A671E6" w:rsidRPr="0089264A" w:rsidRDefault="00A671E6" w:rsidP="00A671E6">
      <w:pPr>
        <w:rPr>
          <w:szCs w:val="22"/>
        </w:rPr>
      </w:pPr>
    </w:p>
    <w:p w14:paraId="43CD2712" w14:textId="77777777" w:rsidR="000064FB" w:rsidRPr="000064FB" w:rsidRDefault="000064FB" w:rsidP="000064FB">
      <w:pPr>
        <w:rPr>
          <w:szCs w:val="22"/>
        </w:rPr>
      </w:pPr>
      <w:r w:rsidRPr="000064FB">
        <w:rPr>
          <w:szCs w:val="22"/>
        </w:rPr>
        <w:t xml:space="preserve">The </w:t>
      </w:r>
      <w:hyperlink r:id="rId19" w:history="1">
        <w:r w:rsidRPr="000064FB">
          <w:rPr>
            <w:color w:val="3333FF"/>
            <w:szCs w:val="22"/>
            <w:u w:val="single"/>
          </w:rPr>
          <w:t>following document</w:t>
        </w:r>
      </w:hyperlink>
      <w:r w:rsidRPr="000064FB">
        <w:rPr>
          <w:szCs w:val="22"/>
          <w:vertAlign w:val="superscript"/>
        </w:rPr>
        <w:footnoteReference w:id="2"/>
      </w:r>
      <w:r w:rsidRPr="000064FB">
        <w:rPr>
          <w:szCs w:val="22"/>
        </w:rPr>
        <w:t xml:space="preserve"> which informed the assessment of this Application is available on the FSANZ website:</w:t>
      </w:r>
    </w:p>
    <w:p w14:paraId="3060AE3D" w14:textId="77777777" w:rsidR="000064FB" w:rsidRPr="000064FB" w:rsidRDefault="000064FB" w:rsidP="000064FB">
      <w:pPr>
        <w:rPr>
          <w:szCs w:val="22"/>
        </w:rPr>
      </w:pPr>
    </w:p>
    <w:p w14:paraId="080925B1" w14:textId="77777777" w:rsidR="000064FB" w:rsidRPr="000064FB" w:rsidRDefault="000064FB" w:rsidP="000064FB">
      <w:pPr>
        <w:ind w:left="1134" w:hanging="1134"/>
      </w:pPr>
      <w:r w:rsidRPr="000064FB">
        <w:t>SD1</w:t>
      </w:r>
      <w:r w:rsidRPr="000064FB">
        <w:tab/>
        <w:t>Risk and technical assessment report</w:t>
      </w:r>
    </w:p>
    <w:p w14:paraId="3E48D400" w14:textId="77777777" w:rsidR="003C4969" w:rsidRPr="00CA5734" w:rsidRDefault="00D15A08" w:rsidP="009A2699">
      <w:pPr>
        <w:spacing w:line="280" w:lineRule="exact"/>
        <w:ind w:left="851" w:hanging="851"/>
        <w:outlineLvl w:val="3"/>
        <w:rPr>
          <w:vanish/>
          <w:color w:val="FF0000"/>
        </w:rPr>
      </w:pPr>
      <w:r w:rsidRPr="00CA5734">
        <w:br w:type="page"/>
      </w:r>
    </w:p>
    <w:p w14:paraId="0AF9DA05" w14:textId="77777777" w:rsidR="007A53BF" w:rsidRPr="007A53BF" w:rsidRDefault="007A53BF" w:rsidP="00CE59AA">
      <w:pPr>
        <w:pStyle w:val="Heading1"/>
      </w:pPr>
      <w:bookmarkStart w:id="1" w:name="_Toc286391001"/>
      <w:bookmarkStart w:id="2" w:name="_Toc300933414"/>
      <w:bookmarkStart w:id="3" w:name="_Toc370223463"/>
      <w:bookmarkStart w:id="4" w:name="_Toc494789943"/>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06B8D973" w14:textId="35963594" w:rsidR="00EB3B5C" w:rsidRPr="004F4183" w:rsidRDefault="00EB3B5C" w:rsidP="00EB3B5C">
      <w:r w:rsidRPr="004F4183">
        <w:t xml:space="preserve">Amano Enzyme Inc. submitted an Application seeking permission for a new microbial source of the already permitted enzyme, triacylglycerol lipase (EC number 3.1.1.3), sourced from </w:t>
      </w:r>
      <w:r w:rsidRPr="004F4183">
        <w:rPr>
          <w:i/>
        </w:rPr>
        <w:t xml:space="preserve">Candida </w:t>
      </w:r>
      <w:proofErr w:type="spellStart"/>
      <w:r w:rsidRPr="004F4183">
        <w:rPr>
          <w:i/>
        </w:rPr>
        <w:t>cylindracea</w:t>
      </w:r>
      <w:proofErr w:type="spellEnd"/>
      <w:r w:rsidRPr="004F4183">
        <w:t xml:space="preserve"> as a processing aid used </w:t>
      </w:r>
      <w:r w:rsidR="00137D8F">
        <w:t>to produce</w:t>
      </w:r>
      <w:r w:rsidRPr="004F4183">
        <w:t xml:space="preserve"> food. </w:t>
      </w:r>
      <w:proofErr w:type="gramStart"/>
      <w:r w:rsidRPr="004F4183">
        <w:t>Triacylglycerol lipase catalyses the hydrolysis of various triglycerides (fats and oils) to produce free fatty acids and the subsequent various mono- and diglycerides.</w:t>
      </w:r>
      <w:proofErr w:type="gramEnd"/>
      <w:r w:rsidRPr="004F4183">
        <w:t xml:space="preserve"> The enzyme selectively hydrolyses short and medium chain fatty acids in preference to long chain fatty acids and removes them from the 1 and 3 positions of the original triacylglycerol. The Applicant claimed these reactions can </w:t>
      </w:r>
      <w:r w:rsidR="00137D8F">
        <w:t xml:space="preserve">improve the </w:t>
      </w:r>
      <w:r w:rsidR="004F4183" w:rsidRPr="004F4183">
        <w:t>flavours</w:t>
      </w:r>
      <w:r w:rsidRPr="004F4183">
        <w:t xml:space="preserve"> of the final treated food. The enzyme is expected to be used primarily </w:t>
      </w:r>
      <w:r w:rsidR="00137D8F">
        <w:t>to</w:t>
      </w:r>
      <w:r w:rsidR="00137D8F" w:rsidRPr="004F4183">
        <w:t xml:space="preserve"> </w:t>
      </w:r>
      <w:r w:rsidRPr="004F4183">
        <w:t>manufacture bakery products and dairy products</w:t>
      </w:r>
      <w:r w:rsidR="004F4183" w:rsidRPr="004F4183">
        <w:t>,</w:t>
      </w:r>
      <w:r w:rsidRPr="004F4183">
        <w:t xml:space="preserve"> and in the processing of fats and oils.</w:t>
      </w:r>
    </w:p>
    <w:p w14:paraId="7C7AC2C0" w14:textId="77777777" w:rsidR="00EB3B5C" w:rsidRPr="004F4183" w:rsidRDefault="00EB3B5C" w:rsidP="00EB3B5C"/>
    <w:p w14:paraId="0C8E45E0" w14:textId="4526AA55" w:rsidR="00EB3B5C" w:rsidRPr="004F4183" w:rsidRDefault="00EB3B5C" w:rsidP="00EB3B5C">
      <w:r w:rsidRPr="004F4183">
        <w:t xml:space="preserve">Enzymes used </w:t>
      </w:r>
      <w:r w:rsidR="00137D8F">
        <w:t xml:space="preserve">to produce and manufacture </w:t>
      </w:r>
      <w:r w:rsidRPr="004F4183">
        <w:t xml:space="preserve">food are considered processing aids and are regulated by Standard 1.3.3 – Processing aids in the </w:t>
      </w:r>
      <w:r w:rsidRPr="004F4183">
        <w:rPr>
          <w:i/>
        </w:rPr>
        <w:t>Australia New Zealand Food Standards Code</w:t>
      </w:r>
      <w:r w:rsidRPr="004F4183">
        <w:t xml:space="preserve"> (the Code). Enzymes permitted to be used as processing aids are listed in Schedule 18.</w:t>
      </w:r>
    </w:p>
    <w:p w14:paraId="491B5B18" w14:textId="77777777" w:rsidR="00EB3B5C" w:rsidRPr="004F4183" w:rsidRDefault="00EB3B5C" w:rsidP="00EB3B5C">
      <w:pPr>
        <w:rPr>
          <w:rFonts w:cs="Arial"/>
          <w:lang w:val="en-AU"/>
        </w:rPr>
      </w:pPr>
    </w:p>
    <w:p w14:paraId="398294D1" w14:textId="701EB3CF" w:rsidR="00EB3B5C" w:rsidRPr="004F4183" w:rsidRDefault="00EB3B5C" w:rsidP="00EB3B5C">
      <w:pPr>
        <w:rPr>
          <w:rFonts w:cs="Arial"/>
        </w:rPr>
      </w:pPr>
      <w:r w:rsidRPr="004F4183">
        <w:rPr>
          <w:rFonts w:cs="Arial"/>
        </w:rPr>
        <w:t xml:space="preserve">The evidence presented to support the proposed uses provided adequate assurance that the enzyme, in the form and prescribed amounts, </w:t>
      </w:r>
      <w:r w:rsidR="004F4183" w:rsidRPr="004F4183">
        <w:rPr>
          <w:rFonts w:cs="Arial"/>
        </w:rPr>
        <w:t>wa</w:t>
      </w:r>
      <w:r w:rsidRPr="004F4183">
        <w:rPr>
          <w:rFonts w:cs="Arial"/>
        </w:rPr>
        <w:t xml:space="preserve">s technologically justified. It </w:t>
      </w:r>
      <w:r w:rsidR="00137D8F">
        <w:rPr>
          <w:rFonts w:cs="Arial"/>
        </w:rPr>
        <w:t xml:space="preserve">was also </w:t>
      </w:r>
      <w:r w:rsidRPr="004F4183">
        <w:rPr>
          <w:rFonts w:cs="Arial"/>
        </w:rPr>
        <w:t>demonstrated to be effective in achieving its stated purpose and performing its technological function as a processing aid i</w:t>
      </w:r>
      <w:r w:rsidRPr="004F4183">
        <w:t>n the manufacture of bakery products</w:t>
      </w:r>
      <w:r w:rsidR="004F4183" w:rsidRPr="004F4183">
        <w:t xml:space="preserve"> and</w:t>
      </w:r>
      <w:r w:rsidRPr="004F4183">
        <w:t xml:space="preserve"> dairy products</w:t>
      </w:r>
      <w:r w:rsidR="004F4183" w:rsidRPr="004F4183">
        <w:t>,</w:t>
      </w:r>
      <w:r w:rsidRPr="004F4183">
        <w:t xml:space="preserve"> and the processing of fats and oil</w:t>
      </w:r>
      <w:r w:rsidRPr="004F4183">
        <w:rPr>
          <w:rFonts w:cs="Arial"/>
        </w:rPr>
        <w:t xml:space="preserve">. </w:t>
      </w:r>
      <w:r w:rsidRPr="004F4183">
        <w:t xml:space="preserve">The safety assessment concluded that there are no safety concerns with the enzyme as a food processing aid. </w:t>
      </w:r>
      <w:r w:rsidRPr="004F4183">
        <w:rPr>
          <w:rFonts w:cs="Arial"/>
          <w:lang w:val="en-AU"/>
        </w:rPr>
        <w:t xml:space="preserve">FSANZ also concluded that, in the absence of any identifiable hazard, an Acceptable Daily Intake (ADI) ‘not specified’ </w:t>
      </w:r>
      <w:r w:rsidR="004F4183" w:rsidRPr="004F4183">
        <w:rPr>
          <w:rFonts w:cs="Arial"/>
          <w:lang w:val="en-AU"/>
        </w:rPr>
        <w:t>wa</w:t>
      </w:r>
      <w:r w:rsidRPr="004F4183">
        <w:rPr>
          <w:rFonts w:cs="Arial"/>
          <w:lang w:val="en-AU"/>
        </w:rPr>
        <w:t>s appropriate. A dietary exposure assessment was therefore not required.</w:t>
      </w:r>
      <w:r w:rsidRPr="004F4183">
        <w:rPr>
          <w:rFonts w:cs="Arial"/>
        </w:rPr>
        <w:t>The enzyme preparation meets international purity specifications.</w:t>
      </w:r>
    </w:p>
    <w:p w14:paraId="6193DB62" w14:textId="77777777" w:rsidR="00EB3B5C" w:rsidRPr="004F4183" w:rsidRDefault="00EB3B5C" w:rsidP="00EB3B5C"/>
    <w:p w14:paraId="0054270E" w14:textId="0938B772" w:rsidR="00EB3B5C" w:rsidRPr="004F4183" w:rsidRDefault="00EB3B5C" w:rsidP="00EB3B5C">
      <w:pPr>
        <w:rPr>
          <w:lang w:bidi="ar-SA"/>
        </w:rPr>
      </w:pPr>
      <w:r w:rsidRPr="004F4183">
        <w:rPr>
          <w:lang w:bidi="ar-SA"/>
        </w:rPr>
        <w:t>FSANZ note</w:t>
      </w:r>
      <w:r w:rsidR="004F4183" w:rsidRPr="004F4183">
        <w:rPr>
          <w:lang w:bidi="ar-SA"/>
        </w:rPr>
        <w:t>d</w:t>
      </w:r>
      <w:r w:rsidRPr="004F4183">
        <w:rPr>
          <w:lang w:bidi="ar-SA"/>
        </w:rPr>
        <w:t xml:space="preserve"> that the International Union of Biochemistry and Molecular Biology (IUBMB), the internationally recognised authority for enzyme nomenclature, uses the name “triacylglycerol lipase” for enzymes with an EC number of </w:t>
      </w:r>
      <w:r w:rsidRPr="004F4183">
        <w:rPr>
          <w:lang w:val="en-AU" w:eastAsia="en-AU"/>
        </w:rPr>
        <w:t>3.1.1.3</w:t>
      </w:r>
      <w:r w:rsidRPr="004F4183">
        <w:rPr>
          <w:lang w:bidi="ar-SA"/>
        </w:rPr>
        <w:t xml:space="preserve">. This is the name used in the Application and this report. However, the name listed in Schedule 18 is, and will remain, as </w:t>
      </w:r>
      <w:r w:rsidR="00E143CB">
        <w:rPr>
          <w:lang w:bidi="ar-SA"/>
        </w:rPr>
        <w:t>l</w:t>
      </w:r>
      <w:r w:rsidRPr="004F4183">
        <w:rPr>
          <w:lang w:bidi="ar-SA"/>
        </w:rPr>
        <w:t>ipase, triacylglycerol.</w:t>
      </w:r>
      <w:r w:rsidRPr="004F4183" w:rsidDel="00BB5295">
        <w:rPr>
          <w:lang w:bidi="ar-SA"/>
        </w:rPr>
        <w:t xml:space="preserve"> </w:t>
      </w:r>
    </w:p>
    <w:p w14:paraId="376AFF81" w14:textId="77777777" w:rsidR="00EB3B5C" w:rsidRPr="007C1701" w:rsidRDefault="00EB3B5C" w:rsidP="00EB3B5C">
      <w:pPr>
        <w:rPr>
          <w:rFonts w:cs="Arial"/>
        </w:rPr>
      </w:pPr>
    </w:p>
    <w:p w14:paraId="5D3C373C" w14:textId="064ED915" w:rsidR="004F4183" w:rsidRPr="007C1701" w:rsidRDefault="004F4183" w:rsidP="00EB3B5C">
      <w:pPr>
        <w:rPr>
          <w:rFonts w:cs="Arial"/>
        </w:rPr>
      </w:pPr>
      <w:r w:rsidRPr="007C1701">
        <w:rPr>
          <w:rFonts w:cs="Arial"/>
        </w:rPr>
        <w:t xml:space="preserve">Issues raised in </w:t>
      </w:r>
      <w:r w:rsidR="00137D8F">
        <w:rPr>
          <w:rFonts w:cs="Arial"/>
        </w:rPr>
        <w:t>response to a C</w:t>
      </w:r>
      <w:r w:rsidRPr="007C1701">
        <w:rPr>
          <w:rFonts w:cs="Arial"/>
        </w:rPr>
        <w:t xml:space="preserve">all for </w:t>
      </w:r>
      <w:r w:rsidR="00137D8F">
        <w:rPr>
          <w:rFonts w:cs="Arial"/>
        </w:rPr>
        <w:t>S</w:t>
      </w:r>
      <w:r w:rsidRPr="007C1701">
        <w:rPr>
          <w:rFonts w:cs="Arial"/>
        </w:rPr>
        <w:t xml:space="preserve">ubmissions </w:t>
      </w:r>
      <w:r w:rsidR="00137D8F">
        <w:rPr>
          <w:rFonts w:cs="Arial"/>
        </w:rPr>
        <w:t xml:space="preserve">on the </w:t>
      </w:r>
      <w:r w:rsidR="00D811C1">
        <w:rPr>
          <w:rFonts w:cs="Arial"/>
        </w:rPr>
        <w:t>A</w:t>
      </w:r>
      <w:r w:rsidR="00137D8F">
        <w:rPr>
          <w:rFonts w:cs="Arial"/>
        </w:rPr>
        <w:t xml:space="preserve">pplication are </w:t>
      </w:r>
      <w:r w:rsidRPr="007C1701">
        <w:rPr>
          <w:rFonts w:cs="Arial"/>
        </w:rPr>
        <w:t>addressed in the report.</w:t>
      </w:r>
    </w:p>
    <w:p w14:paraId="0755A48F" w14:textId="77777777" w:rsidR="004F4183" w:rsidRPr="007C1701" w:rsidRDefault="004F4183" w:rsidP="00EB3B5C">
      <w:pPr>
        <w:rPr>
          <w:rFonts w:cs="Arial"/>
        </w:rPr>
      </w:pPr>
    </w:p>
    <w:p w14:paraId="1ED8D348" w14:textId="6ECE7A26" w:rsidR="00EB3B5C" w:rsidRPr="00061265" w:rsidRDefault="00E143CB" w:rsidP="00EB3B5C">
      <w:pPr>
        <w:rPr>
          <w:rFonts w:cs="Arial"/>
        </w:rPr>
      </w:pPr>
      <w:r w:rsidRPr="00061265">
        <w:rPr>
          <w:rFonts w:cs="Arial"/>
        </w:rPr>
        <w:t>The Board has approved a draft variation</w:t>
      </w:r>
      <w:r w:rsidR="00EB3B5C" w:rsidRPr="00061265">
        <w:rPr>
          <w:rFonts w:cs="Arial"/>
        </w:rPr>
        <w:t xml:space="preserve"> to permit the enzyme, lipase, triacylglycerol (EC 3.1.1.3) sourced from </w:t>
      </w:r>
      <w:r w:rsidR="00EB3B5C" w:rsidRPr="00061265">
        <w:rPr>
          <w:i/>
        </w:rPr>
        <w:t xml:space="preserve">Candida </w:t>
      </w:r>
      <w:proofErr w:type="spellStart"/>
      <w:r w:rsidR="00EB3B5C" w:rsidRPr="00061265">
        <w:rPr>
          <w:i/>
        </w:rPr>
        <w:t>cylindracea</w:t>
      </w:r>
      <w:proofErr w:type="spellEnd"/>
      <w:r w:rsidR="00EB3B5C" w:rsidRPr="00061265">
        <w:t xml:space="preserve"> in the table to subsection S18—9(3) (Permitted processing aids—various technological purposes). </w:t>
      </w:r>
      <w:r w:rsidRPr="00061265">
        <w:t xml:space="preserve">This was considered appropriate because the assessment has been conducted on the proposed use of the enzyme for specific technological purposes rather than use for any technological purpose or for any food (table to subsection S18—4(5)). </w:t>
      </w:r>
      <w:r w:rsidR="00EB3B5C" w:rsidRPr="00061265">
        <w:t xml:space="preserve">The </w:t>
      </w:r>
      <w:r w:rsidRPr="00061265">
        <w:t xml:space="preserve">permitted </w:t>
      </w:r>
      <w:r w:rsidR="00EB3B5C" w:rsidRPr="00061265">
        <w:t>technological purpose is for use in the manufacture of bakery products and dairy products</w:t>
      </w:r>
      <w:r w:rsidRPr="00061265">
        <w:t>,</w:t>
      </w:r>
      <w:r w:rsidR="00EB3B5C" w:rsidRPr="00061265">
        <w:t xml:space="preserve"> and in the processing of fats and oils. The maximum permitted level is </w:t>
      </w:r>
      <w:r w:rsidRPr="00061265">
        <w:t>good manufacturing practice (</w:t>
      </w:r>
      <w:r w:rsidR="00EB3B5C" w:rsidRPr="00061265">
        <w:t>GMP</w:t>
      </w:r>
      <w:r w:rsidRPr="00061265">
        <w:t>)</w:t>
      </w:r>
      <w:r w:rsidR="00EB3B5C" w:rsidRPr="00061265">
        <w:t xml:space="preserve">. </w:t>
      </w:r>
    </w:p>
    <w:p w14:paraId="2B2D5D43" w14:textId="77777777" w:rsidR="00C836FF" w:rsidRDefault="00C836FF" w:rsidP="002421C1">
      <w:pPr>
        <w:pStyle w:val="Heading1"/>
      </w:pPr>
      <w:r>
        <w:br w:type="page"/>
      </w:r>
    </w:p>
    <w:p w14:paraId="065F8E76" w14:textId="77777777" w:rsidR="007A53BF" w:rsidRPr="007A53BF" w:rsidRDefault="007A53BF" w:rsidP="00CE59AA">
      <w:pPr>
        <w:pStyle w:val="Heading1"/>
      </w:pPr>
      <w:bookmarkStart w:id="10" w:name="_Toc300933417"/>
      <w:bookmarkStart w:id="11" w:name="_Toc370223464"/>
      <w:bookmarkStart w:id="12" w:name="_Toc494789944"/>
      <w:r w:rsidRPr="007A53BF">
        <w:t>1</w:t>
      </w:r>
      <w:r w:rsidRPr="007A53BF">
        <w:tab/>
        <w:t>Introduction</w:t>
      </w:r>
      <w:bookmarkEnd w:id="10"/>
      <w:bookmarkEnd w:id="11"/>
      <w:bookmarkEnd w:id="12"/>
    </w:p>
    <w:p w14:paraId="1AE90469" w14:textId="616BAF97" w:rsidR="007A53BF" w:rsidRPr="00061265" w:rsidRDefault="007A53BF" w:rsidP="00CE59AA">
      <w:pPr>
        <w:pStyle w:val="Heading2"/>
      </w:pPr>
      <w:bookmarkStart w:id="13" w:name="_Toc300761890"/>
      <w:bookmarkStart w:id="14" w:name="_Toc300933419"/>
      <w:bookmarkStart w:id="15" w:name="_Toc370223465"/>
      <w:bookmarkStart w:id="16" w:name="_Toc494789945"/>
      <w:r w:rsidRPr="007A53BF">
        <w:t>1.1</w:t>
      </w:r>
      <w:r w:rsidRPr="007A53BF">
        <w:tab/>
        <w:t xml:space="preserve">The </w:t>
      </w:r>
      <w:r w:rsidRPr="00061265">
        <w:t>Applicant</w:t>
      </w:r>
      <w:bookmarkEnd w:id="13"/>
      <w:bookmarkEnd w:id="14"/>
      <w:bookmarkEnd w:id="15"/>
      <w:bookmarkEnd w:id="16"/>
    </w:p>
    <w:p w14:paraId="119099F2" w14:textId="77777777" w:rsidR="00061265" w:rsidRPr="00061265" w:rsidRDefault="00061265" w:rsidP="00061265">
      <w:bookmarkStart w:id="17" w:name="_Toc300761891"/>
      <w:bookmarkStart w:id="18" w:name="_Toc300933420"/>
      <w:r w:rsidRPr="00061265">
        <w:t>The Applicant is Amano Enzyme Inc., Japan, a producer of specialty enzymes for pharmaceuticals, diagnostic medicines, and the food industry.</w:t>
      </w:r>
    </w:p>
    <w:p w14:paraId="736E9095" w14:textId="77777777" w:rsidR="00061265" w:rsidRPr="00061265" w:rsidRDefault="00061265" w:rsidP="00061265">
      <w:pPr>
        <w:keepNext/>
        <w:spacing w:before="240" w:after="240"/>
        <w:ind w:left="851" w:hanging="851"/>
        <w:outlineLvl w:val="1"/>
        <w:rPr>
          <w:rFonts w:cs="Arial"/>
          <w:b/>
          <w:bCs/>
          <w:sz w:val="28"/>
          <w:szCs w:val="22"/>
          <w:lang w:bidi="ar-SA"/>
        </w:rPr>
      </w:pPr>
      <w:bookmarkStart w:id="19" w:name="_Toc485991545"/>
      <w:r w:rsidRPr="00061265">
        <w:rPr>
          <w:rFonts w:cs="Arial"/>
          <w:b/>
          <w:bCs/>
          <w:sz w:val="28"/>
          <w:szCs w:val="22"/>
          <w:lang w:bidi="ar-SA"/>
        </w:rPr>
        <w:t>1.2</w:t>
      </w:r>
      <w:r w:rsidRPr="00061265">
        <w:rPr>
          <w:rFonts w:cs="Arial"/>
          <w:b/>
          <w:bCs/>
          <w:sz w:val="28"/>
          <w:szCs w:val="22"/>
          <w:lang w:bidi="ar-SA"/>
        </w:rPr>
        <w:tab/>
        <w:t>The Application</w:t>
      </w:r>
      <w:bookmarkEnd w:id="17"/>
      <w:bookmarkEnd w:id="18"/>
      <w:bookmarkEnd w:id="19"/>
    </w:p>
    <w:p w14:paraId="73ADA2C1" w14:textId="44A94B6C" w:rsidR="00061265" w:rsidRPr="00061265" w:rsidRDefault="00061265" w:rsidP="00061265">
      <w:r w:rsidRPr="00061265">
        <w:t xml:space="preserve">The purpose of the Application </w:t>
      </w:r>
      <w:r>
        <w:t>wa</w:t>
      </w:r>
      <w:r w:rsidRPr="00061265">
        <w:t xml:space="preserve">s to seek permission for the Applicant’s enzyme preparation, triacylglycerol lipase (Enzyme Commission (EC) number 3.1.1.3) sourced from </w:t>
      </w:r>
      <w:r w:rsidRPr="00061265">
        <w:rPr>
          <w:i/>
        </w:rPr>
        <w:t xml:space="preserve">Candida </w:t>
      </w:r>
      <w:proofErr w:type="spellStart"/>
      <w:r w:rsidRPr="00061265">
        <w:rPr>
          <w:i/>
        </w:rPr>
        <w:t>cylindracea</w:t>
      </w:r>
      <w:proofErr w:type="spellEnd"/>
      <w:r w:rsidR="00DE3766">
        <w:t>,</w:t>
      </w:r>
      <w:r w:rsidRPr="00061265">
        <w:t xml:space="preserve"> as a processing aid for use in the manufacture of bakery products and dairy products</w:t>
      </w:r>
      <w:r w:rsidR="001928AC">
        <w:t>,</w:t>
      </w:r>
      <w:r w:rsidRPr="00061265">
        <w:t xml:space="preserve"> and in the processing of fats and oils. The source microorganism is not genetically modified </w:t>
      </w:r>
      <w:r w:rsidR="003C7F8A">
        <w:t>and</w:t>
      </w:r>
      <w:r w:rsidR="003C7F8A" w:rsidRPr="00061265">
        <w:t xml:space="preserve"> </w:t>
      </w:r>
      <w:r w:rsidRPr="00061265">
        <w:t>has been obtained from a chemically mutated production strain.</w:t>
      </w:r>
    </w:p>
    <w:p w14:paraId="6749C544" w14:textId="77777777" w:rsidR="00061265" w:rsidRPr="00061265" w:rsidRDefault="00061265" w:rsidP="00061265"/>
    <w:p w14:paraId="1421A4FC" w14:textId="1110C041" w:rsidR="00061265" w:rsidRPr="00061265" w:rsidRDefault="00061265" w:rsidP="00061265">
      <w:proofErr w:type="gramStart"/>
      <w:r w:rsidRPr="00061265">
        <w:t>Triacylglycerol lipase catalyses the hydrolysis of various triglycerides (fats and oils) to produce free fatty acids, with subsequent formation of various mono- and diglycerides.</w:t>
      </w:r>
      <w:proofErr w:type="gramEnd"/>
      <w:r w:rsidRPr="00061265">
        <w:t xml:space="preserve"> The enzyme preparation selectively hydrolyses short and medium chain fatty acids in preference to long chain fatty acids and removes them from the 1 and 3 positions of the original triacylglycerol. The Applicant claim</w:t>
      </w:r>
      <w:r w:rsidR="001928AC">
        <w:t>ed</w:t>
      </w:r>
      <w:r w:rsidRPr="00061265">
        <w:t xml:space="preserve"> these reactions can produce </w:t>
      </w:r>
      <w:r w:rsidR="001928AC">
        <w:t>improved flavours</w:t>
      </w:r>
      <w:r w:rsidRPr="00061265">
        <w:t xml:space="preserve"> of the final treated food.</w:t>
      </w:r>
    </w:p>
    <w:p w14:paraId="69C324DF" w14:textId="77777777" w:rsidR="00061265" w:rsidRPr="00061265" w:rsidRDefault="00061265" w:rsidP="00061265">
      <w:pPr>
        <w:keepNext/>
        <w:spacing w:before="240" w:after="240"/>
        <w:ind w:left="851" w:hanging="851"/>
        <w:outlineLvl w:val="1"/>
        <w:rPr>
          <w:rFonts w:cs="Arial"/>
          <w:b/>
          <w:bCs/>
          <w:sz w:val="28"/>
          <w:szCs w:val="22"/>
          <w:lang w:bidi="ar-SA"/>
        </w:rPr>
      </w:pPr>
      <w:bookmarkStart w:id="20" w:name="_Toc300761892"/>
      <w:bookmarkStart w:id="21" w:name="_Toc300933421"/>
      <w:bookmarkStart w:id="22" w:name="_Toc485991546"/>
      <w:r w:rsidRPr="00061265">
        <w:rPr>
          <w:rFonts w:cs="Arial"/>
          <w:b/>
          <w:bCs/>
          <w:sz w:val="28"/>
          <w:szCs w:val="22"/>
          <w:lang w:bidi="ar-SA"/>
        </w:rPr>
        <w:t>1.3</w:t>
      </w:r>
      <w:r w:rsidRPr="00061265">
        <w:rPr>
          <w:rFonts w:cs="Arial"/>
          <w:b/>
          <w:bCs/>
          <w:sz w:val="28"/>
          <w:szCs w:val="22"/>
          <w:lang w:bidi="ar-SA"/>
        </w:rPr>
        <w:tab/>
        <w:t>The current Standard</w:t>
      </w:r>
      <w:bookmarkEnd w:id="20"/>
      <w:bookmarkEnd w:id="21"/>
      <w:bookmarkEnd w:id="22"/>
    </w:p>
    <w:p w14:paraId="3469F5F2" w14:textId="4A685AA8" w:rsidR="002E6127" w:rsidRPr="0088325A" w:rsidRDefault="002E6127" w:rsidP="00DD0285">
      <w:pPr>
        <w:pStyle w:val="CommentText"/>
        <w:rPr>
          <w:sz w:val="22"/>
          <w:szCs w:val="22"/>
        </w:rPr>
      </w:pPr>
      <w:bookmarkStart w:id="23" w:name="_Toc286391007"/>
      <w:bookmarkStart w:id="24" w:name="_Toc300933423"/>
      <w:bookmarkStart w:id="25" w:name="_Toc175381432"/>
      <w:r w:rsidRPr="0088325A">
        <w:rPr>
          <w:sz w:val="22"/>
          <w:szCs w:val="22"/>
        </w:rPr>
        <w:t xml:space="preserve">Enzymes used to process and manufacture food are considered processing aids. </w:t>
      </w:r>
    </w:p>
    <w:p w14:paraId="600D256C" w14:textId="77777777" w:rsidR="002E6127" w:rsidRPr="0088325A" w:rsidRDefault="002E6127" w:rsidP="002E6127">
      <w:pPr>
        <w:rPr>
          <w:szCs w:val="22"/>
        </w:rPr>
      </w:pPr>
    </w:p>
    <w:p w14:paraId="73617846" w14:textId="77777777" w:rsidR="002E6127" w:rsidRPr="00F3783F" w:rsidRDefault="002E6127" w:rsidP="002E6127">
      <w:pPr>
        <w:rPr>
          <w:szCs w:val="22"/>
        </w:rPr>
      </w:pPr>
      <w:r w:rsidRPr="00F3783F">
        <w:rPr>
          <w:szCs w:val="22"/>
        </w:rPr>
        <w:t>Paragraph 1.1.1—10(6</w:t>
      </w:r>
      <w:proofErr w:type="gramStart"/>
      <w:r w:rsidRPr="00F3783F">
        <w:rPr>
          <w:szCs w:val="22"/>
        </w:rPr>
        <w:t>)(</w:t>
      </w:r>
      <w:proofErr w:type="gramEnd"/>
      <w:r w:rsidRPr="00F3783F">
        <w:rPr>
          <w:szCs w:val="22"/>
        </w:rPr>
        <w:t>c) in the Code provides that a food for sale must not have, as an ingredient or a component, a substance that is used as a processing aid, unless expressly permitted.</w:t>
      </w:r>
    </w:p>
    <w:p w14:paraId="7D4FFFAD" w14:textId="77777777" w:rsidR="002E6127" w:rsidRPr="00F3783F" w:rsidRDefault="002E6127" w:rsidP="002E6127">
      <w:pPr>
        <w:rPr>
          <w:szCs w:val="22"/>
        </w:rPr>
      </w:pPr>
    </w:p>
    <w:p w14:paraId="01107F6C" w14:textId="77777777" w:rsidR="002E6127" w:rsidRPr="00F3783F" w:rsidRDefault="002E6127" w:rsidP="002E6127">
      <w:pPr>
        <w:rPr>
          <w:szCs w:val="22"/>
        </w:rPr>
      </w:pPr>
      <w:r w:rsidRPr="00F3783F">
        <w:rPr>
          <w:szCs w:val="22"/>
        </w:rPr>
        <w:t>Section 1.1.2—13 defines the expression ‘used as a processing aid’. That definition imposes certain requirements on substances permitted by Standard 1.3.3 and Schedule 18 to be used as a processing aid. For example, that the substance not perform a technological function in the final food for sale.</w:t>
      </w:r>
    </w:p>
    <w:p w14:paraId="70F4F12D" w14:textId="77777777" w:rsidR="002E6127" w:rsidRPr="00F3783F" w:rsidRDefault="002E6127" w:rsidP="002E6127">
      <w:pPr>
        <w:rPr>
          <w:szCs w:val="22"/>
        </w:rPr>
      </w:pPr>
    </w:p>
    <w:p w14:paraId="7FD54C39" w14:textId="77777777" w:rsidR="002E6127" w:rsidRPr="00F3783F" w:rsidRDefault="002E6127" w:rsidP="002E6127">
      <w:pPr>
        <w:rPr>
          <w:szCs w:val="22"/>
        </w:rPr>
      </w:pPr>
      <w:r w:rsidRPr="00F3783F">
        <w:rPr>
          <w:szCs w:val="22"/>
        </w:rPr>
        <w:t>Standard 1.3.3 provides permissions for certain substances to be used as processing aids in food sold in Australia or New Zealand. The provisions of that Standard generally provide that substances listed in Schedule 18 of the Code are permitted for use as processing aids.</w:t>
      </w:r>
    </w:p>
    <w:p w14:paraId="34DA1C45" w14:textId="77777777" w:rsidR="002E6127" w:rsidRPr="00F3783F" w:rsidRDefault="002E6127" w:rsidP="002E6127">
      <w:pPr>
        <w:rPr>
          <w:szCs w:val="22"/>
        </w:rPr>
      </w:pPr>
    </w:p>
    <w:p w14:paraId="67497372" w14:textId="53A25A48" w:rsidR="00061265" w:rsidRDefault="002E6127" w:rsidP="00061265">
      <w:pPr>
        <w:ind w:right="-144"/>
        <w:rPr>
          <w:szCs w:val="22"/>
        </w:rPr>
      </w:pPr>
      <w:r w:rsidRPr="00F3783F">
        <w:rPr>
          <w:szCs w:val="22"/>
        </w:rPr>
        <w:t xml:space="preserve">Permitted enzymes of microbial origin (including enzymes produced by </w:t>
      </w:r>
      <w:r w:rsidR="00F41068">
        <w:rPr>
          <w:szCs w:val="22"/>
        </w:rPr>
        <w:t>genetically modified</w:t>
      </w:r>
      <w:r w:rsidRPr="00F3783F">
        <w:rPr>
          <w:szCs w:val="22"/>
        </w:rPr>
        <w:t xml:space="preserve"> microorganisms) may be listed in the table to subsection S18—4(5) or the table to subsection S18—9(3), depending on whether the permission is for use for any technological purpose and/or any food, or for specific technological purposes and specific foods, respectively.</w:t>
      </w:r>
    </w:p>
    <w:p w14:paraId="4047F12C" w14:textId="77777777" w:rsidR="00DD0285" w:rsidRPr="00061265" w:rsidRDefault="00DD0285" w:rsidP="00061265">
      <w:pPr>
        <w:ind w:right="-144"/>
      </w:pPr>
    </w:p>
    <w:p w14:paraId="07DED6A0" w14:textId="01519090" w:rsidR="00061265" w:rsidRPr="00061265" w:rsidRDefault="00061265" w:rsidP="00061265">
      <w:r w:rsidRPr="00061265">
        <w:t>The Code lists the enzyme with EC number 3.1.1.3 as lipase, triacylglycerol, rather than</w:t>
      </w:r>
      <w:r w:rsidR="00DD0285">
        <w:t>,</w:t>
      </w:r>
      <w:r w:rsidRPr="00061265">
        <w:t xml:space="preserve"> the name used in the Application and this report of</w:t>
      </w:r>
      <w:r w:rsidR="00DD0285">
        <w:t>,</w:t>
      </w:r>
      <w:r w:rsidRPr="00061265">
        <w:t xml:space="preserve"> triacylglycerol lipase. There are currently thirteen sources of the enzyme, along with a protein engineered variant of the enzyme, in the table to subsection S18—4(5). However, </w:t>
      </w:r>
      <w:r w:rsidRPr="00061265">
        <w:rPr>
          <w:i/>
        </w:rPr>
        <w:t xml:space="preserve">C. </w:t>
      </w:r>
      <w:proofErr w:type="spellStart"/>
      <w:r w:rsidRPr="00061265">
        <w:rPr>
          <w:i/>
        </w:rPr>
        <w:t>cylindracea</w:t>
      </w:r>
      <w:proofErr w:type="spellEnd"/>
      <w:r w:rsidRPr="00061265">
        <w:t xml:space="preserve"> is currently not one of the approved sources of the enzyme. </w:t>
      </w:r>
    </w:p>
    <w:p w14:paraId="0ADC756B" w14:textId="77777777" w:rsidR="00061265" w:rsidRPr="00061265" w:rsidRDefault="00061265" w:rsidP="00061265"/>
    <w:p w14:paraId="469153AD" w14:textId="77777777" w:rsidR="00061265" w:rsidRPr="00061265" w:rsidRDefault="00061265" w:rsidP="00061265">
      <w:r w:rsidRPr="00061265">
        <w:rPr>
          <w:i/>
        </w:rPr>
        <w:t xml:space="preserve">C. </w:t>
      </w:r>
      <w:proofErr w:type="spellStart"/>
      <w:r w:rsidRPr="00061265">
        <w:rPr>
          <w:i/>
        </w:rPr>
        <w:t>cylindracea</w:t>
      </w:r>
      <w:proofErr w:type="spellEnd"/>
      <w:r w:rsidRPr="00061265">
        <w:t xml:space="preserve"> is not a source microorganism or a donor or host microorganism for other permitted enzymes in Schedule 18.</w:t>
      </w:r>
    </w:p>
    <w:p w14:paraId="5043EA77" w14:textId="77777777" w:rsidR="00061265" w:rsidRPr="00061265" w:rsidRDefault="00061265" w:rsidP="00061265"/>
    <w:p w14:paraId="5886B02B" w14:textId="7FE6F70E" w:rsidR="00061265" w:rsidRPr="00061265" w:rsidRDefault="00061265" w:rsidP="00061265">
      <w:r w:rsidRPr="00061265">
        <w:t xml:space="preserve">FSANZ </w:t>
      </w:r>
      <w:r w:rsidR="00B56880">
        <w:t xml:space="preserve">has previously </w:t>
      </w:r>
      <w:r w:rsidRPr="00061265">
        <w:t>assessed and approved a number of applications for lipase, triacylglycerol (EC 3.1.1.3) as noted in Table 1 below.</w:t>
      </w:r>
    </w:p>
    <w:p w14:paraId="422152C3" w14:textId="77777777" w:rsidR="00061265" w:rsidRPr="00061265" w:rsidRDefault="00061265" w:rsidP="00061265"/>
    <w:p w14:paraId="1370E752" w14:textId="77777777" w:rsidR="00061265" w:rsidRPr="00061265" w:rsidRDefault="00061265" w:rsidP="00061265">
      <w:pPr>
        <w:keepNext/>
        <w:widowControl/>
        <w:rPr>
          <w:rFonts w:cs="Arial"/>
          <w:b/>
        </w:rPr>
      </w:pPr>
      <w:r w:rsidRPr="00061265">
        <w:rPr>
          <w:rFonts w:cs="Arial"/>
          <w:b/>
        </w:rPr>
        <w:t>Table 1: FSANZ earlier applications that permitted other forms of the enzyme triacylglycerol lipase (EC 3.1.1.3)</w:t>
      </w:r>
    </w:p>
    <w:p w14:paraId="6D66FE84" w14:textId="77777777" w:rsidR="00061265" w:rsidRPr="00061265" w:rsidRDefault="00061265" w:rsidP="00061265"/>
    <w:tbl>
      <w:tblPr>
        <w:tblStyle w:val="TableGrid"/>
        <w:tblW w:w="0" w:type="auto"/>
        <w:tblLayout w:type="fixed"/>
        <w:tblLook w:val="04A0" w:firstRow="1" w:lastRow="0" w:firstColumn="1" w:lastColumn="0" w:noHBand="0" w:noVBand="1"/>
        <w:tblDescription w:val="List of FSANZ applications for the enzyme triacylglycerol lipase, which are A264, A402, A435, A516, A517, A519, A569 and A1036."/>
      </w:tblPr>
      <w:tblGrid>
        <w:gridCol w:w="1384"/>
        <w:gridCol w:w="2268"/>
        <w:gridCol w:w="4394"/>
        <w:gridCol w:w="1240"/>
      </w:tblGrid>
      <w:tr w:rsidR="00061265" w:rsidRPr="00061265" w14:paraId="5C5ADB5F" w14:textId="77777777" w:rsidTr="00867AF4">
        <w:trPr>
          <w:cantSplit/>
          <w:tblHeader/>
        </w:trPr>
        <w:tc>
          <w:tcPr>
            <w:tcW w:w="1384" w:type="dxa"/>
          </w:tcPr>
          <w:p w14:paraId="233F03F8" w14:textId="77777777" w:rsidR="00061265" w:rsidRPr="00061265" w:rsidRDefault="00061265" w:rsidP="00061265">
            <w:pPr>
              <w:keepNext/>
              <w:widowControl/>
              <w:jc w:val="center"/>
              <w:rPr>
                <w:rFonts w:ascii="Arial Bold" w:hAnsi="Arial Bold" w:cs="Arial"/>
                <w:b/>
                <w:sz w:val="20"/>
                <w:szCs w:val="20"/>
              </w:rPr>
            </w:pPr>
            <w:r w:rsidRPr="00061265">
              <w:rPr>
                <w:rFonts w:ascii="Arial Bold" w:hAnsi="Arial Bold" w:cs="Arial"/>
                <w:b/>
                <w:sz w:val="20"/>
                <w:szCs w:val="20"/>
              </w:rPr>
              <w:t>Application #</w:t>
            </w:r>
          </w:p>
        </w:tc>
        <w:tc>
          <w:tcPr>
            <w:tcW w:w="2268" w:type="dxa"/>
          </w:tcPr>
          <w:p w14:paraId="4387F7DE" w14:textId="77777777" w:rsidR="00061265" w:rsidRPr="00061265" w:rsidRDefault="00061265" w:rsidP="00061265">
            <w:pPr>
              <w:keepNext/>
              <w:widowControl/>
              <w:jc w:val="center"/>
              <w:rPr>
                <w:rFonts w:ascii="Arial Bold" w:hAnsi="Arial Bold" w:cs="Arial"/>
                <w:b/>
                <w:sz w:val="20"/>
                <w:szCs w:val="20"/>
              </w:rPr>
            </w:pPr>
            <w:r w:rsidRPr="00061265">
              <w:rPr>
                <w:rFonts w:ascii="Arial Bold" w:hAnsi="Arial Bold" w:cs="Arial"/>
                <w:b/>
                <w:sz w:val="20"/>
                <w:szCs w:val="20"/>
              </w:rPr>
              <w:t>Applicant</w:t>
            </w:r>
          </w:p>
        </w:tc>
        <w:tc>
          <w:tcPr>
            <w:tcW w:w="4394" w:type="dxa"/>
          </w:tcPr>
          <w:p w14:paraId="523CD105" w14:textId="77777777" w:rsidR="00061265" w:rsidRPr="00061265" w:rsidRDefault="00061265" w:rsidP="00061265">
            <w:pPr>
              <w:keepNext/>
              <w:widowControl/>
              <w:jc w:val="center"/>
              <w:rPr>
                <w:rFonts w:ascii="Arial Bold" w:hAnsi="Arial Bold" w:cs="Arial"/>
                <w:b/>
                <w:sz w:val="20"/>
                <w:szCs w:val="20"/>
              </w:rPr>
            </w:pPr>
            <w:r w:rsidRPr="00061265">
              <w:rPr>
                <w:rFonts w:ascii="Arial Bold" w:hAnsi="Arial Bold" w:cs="Arial"/>
                <w:b/>
                <w:sz w:val="20"/>
                <w:szCs w:val="20"/>
              </w:rPr>
              <w:t>Microbial source</w:t>
            </w:r>
          </w:p>
        </w:tc>
        <w:tc>
          <w:tcPr>
            <w:tcW w:w="1240" w:type="dxa"/>
          </w:tcPr>
          <w:p w14:paraId="022B90B3" w14:textId="77777777" w:rsidR="00061265" w:rsidRPr="00061265" w:rsidRDefault="00061265" w:rsidP="00061265">
            <w:pPr>
              <w:keepNext/>
              <w:widowControl/>
              <w:jc w:val="center"/>
              <w:rPr>
                <w:rFonts w:ascii="Arial Bold" w:hAnsi="Arial Bold" w:cs="Arial"/>
                <w:b/>
                <w:sz w:val="20"/>
                <w:szCs w:val="20"/>
              </w:rPr>
            </w:pPr>
            <w:r w:rsidRPr="00061265">
              <w:rPr>
                <w:rFonts w:ascii="Arial Bold" w:hAnsi="Arial Bold" w:cs="Arial"/>
                <w:b/>
                <w:sz w:val="20"/>
                <w:szCs w:val="20"/>
              </w:rPr>
              <w:t>Gazettal</w:t>
            </w:r>
          </w:p>
        </w:tc>
      </w:tr>
      <w:tr w:rsidR="00061265" w:rsidRPr="00061265" w14:paraId="76247198" w14:textId="77777777" w:rsidTr="00867AF4">
        <w:tc>
          <w:tcPr>
            <w:tcW w:w="1384" w:type="dxa"/>
          </w:tcPr>
          <w:p w14:paraId="249EBC22" w14:textId="77777777" w:rsidR="00061265" w:rsidRPr="00061265" w:rsidRDefault="00061265" w:rsidP="00061265">
            <w:pPr>
              <w:keepNext/>
              <w:widowControl/>
              <w:rPr>
                <w:rFonts w:cs="Arial"/>
                <w:sz w:val="20"/>
                <w:szCs w:val="20"/>
              </w:rPr>
            </w:pPr>
            <w:r w:rsidRPr="00061265">
              <w:rPr>
                <w:rFonts w:cs="Arial"/>
                <w:sz w:val="20"/>
                <w:szCs w:val="20"/>
              </w:rPr>
              <w:t>A264</w:t>
            </w:r>
          </w:p>
        </w:tc>
        <w:tc>
          <w:tcPr>
            <w:tcW w:w="2268" w:type="dxa"/>
          </w:tcPr>
          <w:p w14:paraId="78A42F0D" w14:textId="77777777" w:rsidR="00061265" w:rsidRPr="00061265" w:rsidRDefault="00061265" w:rsidP="00061265">
            <w:pPr>
              <w:keepNext/>
              <w:widowControl/>
              <w:rPr>
                <w:rFonts w:cs="Arial"/>
                <w:sz w:val="20"/>
                <w:szCs w:val="20"/>
              </w:rPr>
            </w:pPr>
            <w:r w:rsidRPr="00061265">
              <w:rPr>
                <w:rFonts w:cs="Arial"/>
                <w:sz w:val="20"/>
                <w:szCs w:val="20"/>
              </w:rPr>
              <w:t xml:space="preserve">Novo Nordisk </w:t>
            </w:r>
            <w:proofErr w:type="spellStart"/>
            <w:r w:rsidRPr="00061265">
              <w:rPr>
                <w:rFonts w:cs="Arial"/>
                <w:sz w:val="20"/>
                <w:szCs w:val="20"/>
              </w:rPr>
              <w:t>Bioindustrial</w:t>
            </w:r>
            <w:proofErr w:type="spellEnd"/>
            <w:r w:rsidRPr="00061265">
              <w:rPr>
                <w:rFonts w:cs="Arial"/>
                <w:sz w:val="20"/>
                <w:szCs w:val="20"/>
              </w:rPr>
              <w:t xml:space="preserve"> Pty Ltd (now </w:t>
            </w:r>
            <w:proofErr w:type="spellStart"/>
            <w:r w:rsidRPr="00061265">
              <w:rPr>
                <w:rFonts w:cs="Arial"/>
                <w:sz w:val="20"/>
                <w:szCs w:val="20"/>
              </w:rPr>
              <w:t>Novozymes</w:t>
            </w:r>
            <w:proofErr w:type="spellEnd"/>
            <w:r w:rsidRPr="00061265">
              <w:rPr>
                <w:rFonts w:cs="Arial"/>
                <w:sz w:val="20"/>
                <w:szCs w:val="20"/>
              </w:rPr>
              <w:t xml:space="preserve"> Pty Ltd)</w:t>
            </w:r>
          </w:p>
        </w:tc>
        <w:tc>
          <w:tcPr>
            <w:tcW w:w="4394" w:type="dxa"/>
          </w:tcPr>
          <w:p w14:paraId="4DAE0999" w14:textId="77777777" w:rsidR="00061265" w:rsidRPr="00061265" w:rsidRDefault="00061265" w:rsidP="00061265">
            <w:pPr>
              <w:keepNext/>
              <w:widowControl/>
              <w:rPr>
                <w:rFonts w:cs="Arial"/>
                <w:sz w:val="20"/>
                <w:szCs w:val="20"/>
              </w:rPr>
            </w:pPr>
            <w:r w:rsidRPr="00061265">
              <w:rPr>
                <w:rFonts w:cs="Arial"/>
                <w:i/>
                <w:sz w:val="20"/>
                <w:szCs w:val="20"/>
              </w:rPr>
              <w:t xml:space="preserve">Aspergillus </w:t>
            </w:r>
            <w:proofErr w:type="spellStart"/>
            <w:r w:rsidRPr="00061265">
              <w:rPr>
                <w:rFonts w:cs="Arial"/>
                <w:i/>
                <w:sz w:val="20"/>
                <w:szCs w:val="20"/>
              </w:rPr>
              <w:t>oryzae</w:t>
            </w:r>
            <w:proofErr w:type="spellEnd"/>
            <w:r w:rsidRPr="00061265">
              <w:rPr>
                <w:rFonts w:cs="Arial"/>
                <w:sz w:val="20"/>
                <w:szCs w:val="20"/>
              </w:rPr>
              <w:t xml:space="preserve">, containing the gene for lipase, triacylglycerol isolated from </w:t>
            </w:r>
            <w:proofErr w:type="spellStart"/>
            <w:r w:rsidRPr="00061265">
              <w:rPr>
                <w:rFonts w:cs="Arial"/>
                <w:i/>
                <w:sz w:val="20"/>
                <w:szCs w:val="20"/>
              </w:rPr>
              <w:t>Humicola</w:t>
            </w:r>
            <w:proofErr w:type="spellEnd"/>
            <w:r w:rsidRPr="00061265">
              <w:rPr>
                <w:rFonts w:cs="Arial"/>
                <w:i/>
                <w:sz w:val="20"/>
                <w:szCs w:val="20"/>
              </w:rPr>
              <w:t xml:space="preserve"> </w:t>
            </w:r>
            <w:proofErr w:type="spellStart"/>
            <w:r w:rsidRPr="00061265">
              <w:rPr>
                <w:rFonts w:cs="Arial"/>
                <w:i/>
                <w:sz w:val="20"/>
                <w:szCs w:val="20"/>
              </w:rPr>
              <w:t>lanuginosa</w:t>
            </w:r>
            <w:proofErr w:type="spellEnd"/>
          </w:p>
        </w:tc>
        <w:tc>
          <w:tcPr>
            <w:tcW w:w="1240" w:type="dxa"/>
          </w:tcPr>
          <w:p w14:paraId="28B3006F" w14:textId="77777777" w:rsidR="00061265" w:rsidRPr="00061265" w:rsidRDefault="00061265" w:rsidP="00061265">
            <w:pPr>
              <w:keepNext/>
              <w:widowControl/>
              <w:rPr>
                <w:rFonts w:cs="Arial"/>
                <w:sz w:val="20"/>
                <w:szCs w:val="20"/>
              </w:rPr>
            </w:pPr>
            <w:r w:rsidRPr="00061265">
              <w:rPr>
                <w:rFonts w:cs="Arial"/>
                <w:sz w:val="20"/>
                <w:szCs w:val="20"/>
              </w:rPr>
              <w:t>1996</w:t>
            </w:r>
          </w:p>
        </w:tc>
      </w:tr>
      <w:tr w:rsidR="00061265" w:rsidRPr="00061265" w14:paraId="281DA02D" w14:textId="77777777" w:rsidTr="00867AF4">
        <w:tc>
          <w:tcPr>
            <w:tcW w:w="1384" w:type="dxa"/>
          </w:tcPr>
          <w:p w14:paraId="6F26DB29" w14:textId="77777777" w:rsidR="00061265" w:rsidRPr="00061265" w:rsidRDefault="00061265" w:rsidP="00061265">
            <w:pPr>
              <w:keepNext/>
              <w:widowControl/>
              <w:rPr>
                <w:rFonts w:cs="Arial"/>
                <w:sz w:val="20"/>
                <w:szCs w:val="20"/>
              </w:rPr>
            </w:pPr>
            <w:r w:rsidRPr="00061265">
              <w:rPr>
                <w:rFonts w:cs="Arial"/>
                <w:sz w:val="20"/>
                <w:szCs w:val="20"/>
              </w:rPr>
              <w:t>A402</w:t>
            </w:r>
          </w:p>
        </w:tc>
        <w:tc>
          <w:tcPr>
            <w:tcW w:w="2268" w:type="dxa"/>
          </w:tcPr>
          <w:p w14:paraId="40B2B958" w14:textId="77777777" w:rsidR="00061265" w:rsidRPr="00061265" w:rsidRDefault="00061265" w:rsidP="00061265">
            <w:pPr>
              <w:keepNext/>
              <w:widowControl/>
              <w:rPr>
                <w:rFonts w:cs="Arial"/>
                <w:sz w:val="20"/>
                <w:szCs w:val="20"/>
              </w:rPr>
            </w:pPr>
            <w:r w:rsidRPr="00061265">
              <w:rPr>
                <w:rFonts w:cs="Arial"/>
                <w:sz w:val="20"/>
                <w:szCs w:val="20"/>
              </w:rPr>
              <w:t xml:space="preserve">Novo Nordisk </w:t>
            </w:r>
            <w:proofErr w:type="spellStart"/>
            <w:r w:rsidRPr="00061265">
              <w:rPr>
                <w:rFonts w:cs="Arial"/>
                <w:sz w:val="20"/>
                <w:szCs w:val="20"/>
              </w:rPr>
              <w:t>Bioindustrial</w:t>
            </w:r>
            <w:proofErr w:type="spellEnd"/>
            <w:r w:rsidRPr="00061265">
              <w:rPr>
                <w:rFonts w:cs="Arial"/>
                <w:sz w:val="20"/>
                <w:szCs w:val="20"/>
              </w:rPr>
              <w:t xml:space="preserve"> Pty Ltd (now </w:t>
            </w:r>
            <w:proofErr w:type="spellStart"/>
            <w:r w:rsidRPr="00061265">
              <w:rPr>
                <w:rFonts w:cs="Arial"/>
                <w:sz w:val="20"/>
                <w:szCs w:val="20"/>
              </w:rPr>
              <w:t>Novozymes</w:t>
            </w:r>
            <w:proofErr w:type="spellEnd"/>
            <w:r w:rsidRPr="00061265">
              <w:rPr>
                <w:rFonts w:cs="Arial"/>
                <w:sz w:val="20"/>
                <w:szCs w:val="20"/>
              </w:rPr>
              <w:t xml:space="preserve"> Pty Ltd)</w:t>
            </w:r>
          </w:p>
        </w:tc>
        <w:tc>
          <w:tcPr>
            <w:tcW w:w="4394" w:type="dxa"/>
          </w:tcPr>
          <w:p w14:paraId="237D2BC7" w14:textId="77777777" w:rsidR="00061265" w:rsidRPr="00061265" w:rsidRDefault="00061265" w:rsidP="00061265">
            <w:pPr>
              <w:keepNext/>
              <w:widowControl/>
              <w:rPr>
                <w:rFonts w:cs="Arial"/>
                <w:sz w:val="20"/>
                <w:szCs w:val="20"/>
              </w:rPr>
            </w:pPr>
            <w:r w:rsidRPr="00061265">
              <w:rPr>
                <w:rFonts w:cs="Arial"/>
                <w:i/>
                <w:sz w:val="20"/>
                <w:szCs w:val="20"/>
              </w:rPr>
              <w:t xml:space="preserve">Aspergillus </w:t>
            </w:r>
            <w:proofErr w:type="spellStart"/>
            <w:r w:rsidRPr="00061265">
              <w:rPr>
                <w:rFonts w:cs="Arial"/>
                <w:i/>
                <w:sz w:val="20"/>
                <w:szCs w:val="20"/>
              </w:rPr>
              <w:t>oryzae</w:t>
            </w:r>
            <w:proofErr w:type="spellEnd"/>
            <w:r w:rsidRPr="00061265">
              <w:rPr>
                <w:rFonts w:cs="Arial"/>
                <w:sz w:val="20"/>
                <w:szCs w:val="20"/>
              </w:rPr>
              <w:t xml:space="preserve">, containing the gene for lipase, triacylglycerol isolated from </w:t>
            </w:r>
            <w:proofErr w:type="spellStart"/>
            <w:r w:rsidRPr="00061265">
              <w:rPr>
                <w:rFonts w:cs="Arial"/>
                <w:i/>
                <w:sz w:val="20"/>
                <w:szCs w:val="20"/>
              </w:rPr>
              <w:t>Rhizomucor</w:t>
            </w:r>
            <w:proofErr w:type="spellEnd"/>
            <w:r w:rsidRPr="00061265">
              <w:rPr>
                <w:rFonts w:cs="Arial"/>
                <w:i/>
                <w:sz w:val="20"/>
                <w:szCs w:val="20"/>
              </w:rPr>
              <w:t xml:space="preserve"> </w:t>
            </w:r>
            <w:proofErr w:type="spellStart"/>
            <w:r w:rsidRPr="00061265">
              <w:rPr>
                <w:rFonts w:cs="Arial"/>
                <w:i/>
                <w:sz w:val="20"/>
                <w:szCs w:val="20"/>
              </w:rPr>
              <w:t>miehei</w:t>
            </w:r>
            <w:proofErr w:type="spellEnd"/>
          </w:p>
        </w:tc>
        <w:tc>
          <w:tcPr>
            <w:tcW w:w="1240" w:type="dxa"/>
          </w:tcPr>
          <w:p w14:paraId="14053DB9" w14:textId="77777777" w:rsidR="00061265" w:rsidRPr="00061265" w:rsidRDefault="00061265" w:rsidP="00061265">
            <w:pPr>
              <w:keepNext/>
              <w:widowControl/>
              <w:rPr>
                <w:rFonts w:cs="Arial"/>
                <w:sz w:val="20"/>
                <w:szCs w:val="20"/>
              </w:rPr>
            </w:pPr>
            <w:r w:rsidRPr="00061265">
              <w:rPr>
                <w:rFonts w:cs="Arial"/>
                <w:sz w:val="20"/>
                <w:szCs w:val="20"/>
              </w:rPr>
              <w:t>2001</w:t>
            </w:r>
          </w:p>
        </w:tc>
      </w:tr>
      <w:tr w:rsidR="00061265" w:rsidRPr="00061265" w14:paraId="7E8AA2EA" w14:textId="77777777" w:rsidTr="00867AF4">
        <w:tc>
          <w:tcPr>
            <w:tcW w:w="1384" w:type="dxa"/>
          </w:tcPr>
          <w:p w14:paraId="13969A25" w14:textId="77777777" w:rsidR="00061265" w:rsidRPr="00061265" w:rsidRDefault="00061265" w:rsidP="00061265">
            <w:pPr>
              <w:keepNext/>
              <w:widowControl/>
              <w:rPr>
                <w:rFonts w:cs="Arial"/>
                <w:sz w:val="20"/>
                <w:szCs w:val="20"/>
              </w:rPr>
            </w:pPr>
            <w:r w:rsidRPr="00061265">
              <w:rPr>
                <w:rFonts w:cs="Arial"/>
                <w:sz w:val="20"/>
                <w:szCs w:val="20"/>
              </w:rPr>
              <w:t>A435</w:t>
            </w:r>
          </w:p>
        </w:tc>
        <w:tc>
          <w:tcPr>
            <w:tcW w:w="2268" w:type="dxa"/>
          </w:tcPr>
          <w:p w14:paraId="13A42EF9" w14:textId="77777777" w:rsidR="00061265" w:rsidRPr="00061265" w:rsidRDefault="00061265" w:rsidP="00061265">
            <w:pPr>
              <w:keepNext/>
              <w:widowControl/>
              <w:rPr>
                <w:rFonts w:cs="Arial"/>
                <w:sz w:val="20"/>
                <w:szCs w:val="20"/>
              </w:rPr>
            </w:pPr>
            <w:r w:rsidRPr="00061265">
              <w:rPr>
                <w:rFonts w:cs="Arial"/>
                <w:sz w:val="20"/>
                <w:szCs w:val="20"/>
              </w:rPr>
              <w:t xml:space="preserve">Novo Nordisk </w:t>
            </w:r>
            <w:proofErr w:type="spellStart"/>
            <w:r w:rsidRPr="00061265">
              <w:rPr>
                <w:rFonts w:cs="Arial"/>
                <w:sz w:val="20"/>
                <w:szCs w:val="20"/>
              </w:rPr>
              <w:t>Bioindustrial</w:t>
            </w:r>
            <w:proofErr w:type="spellEnd"/>
            <w:r w:rsidRPr="00061265">
              <w:rPr>
                <w:rFonts w:cs="Arial"/>
                <w:sz w:val="20"/>
                <w:szCs w:val="20"/>
              </w:rPr>
              <w:t xml:space="preserve"> Pty Ltd (now </w:t>
            </w:r>
            <w:proofErr w:type="spellStart"/>
            <w:r w:rsidRPr="00061265">
              <w:rPr>
                <w:rFonts w:cs="Arial"/>
                <w:sz w:val="20"/>
                <w:szCs w:val="20"/>
              </w:rPr>
              <w:t>Novozymes</w:t>
            </w:r>
            <w:proofErr w:type="spellEnd"/>
            <w:r w:rsidRPr="00061265">
              <w:rPr>
                <w:rFonts w:cs="Arial"/>
                <w:sz w:val="20"/>
                <w:szCs w:val="20"/>
              </w:rPr>
              <w:t xml:space="preserve"> Pty Ltd)</w:t>
            </w:r>
          </w:p>
        </w:tc>
        <w:tc>
          <w:tcPr>
            <w:tcW w:w="4394" w:type="dxa"/>
          </w:tcPr>
          <w:p w14:paraId="1CAABC68" w14:textId="77777777" w:rsidR="00061265" w:rsidRPr="00061265" w:rsidRDefault="00061265" w:rsidP="00061265">
            <w:pPr>
              <w:keepNext/>
              <w:widowControl/>
              <w:rPr>
                <w:rFonts w:cs="Arial"/>
                <w:sz w:val="20"/>
                <w:szCs w:val="20"/>
              </w:rPr>
            </w:pPr>
            <w:r w:rsidRPr="00061265">
              <w:rPr>
                <w:rFonts w:cs="Arial"/>
                <w:i/>
                <w:sz w:val="20"/>
                <w:szCs w:val="20"/>
              </w:rPr>
              <w:t xml:space="preserve">Aspergillus </w:t>
            </w:r>
            <w:proofErr w:type="spellStart"/>
            <w:r w:rsidRPr="00061265">
              <w:rPr>
                <w:rFonts w:cs="Arial"/>
                <w:i/>
                <w:sz w:val="20"/>
                <w:szCs w:val="20"/>
              </w:rPr>
              <w:t>oryzae</w:t>
            </w:r>
            <w:proofErr w:type="spellEnd"/>
            <w:r w:rsidRPr="00061265">
              <w:rPr>
                <w:rFonts w:cs="Arial"/>
                <w:sz w:val="20"/>
                <w:szCs w:val="20"/>
              </w:rPr>
              <w:t xml:space="preserve">, containing the gene for lipase, triacylglycerol isolated from </w:t>
            </w:r>
            <w:r w:rsidRPr="00061265">
              <w:rPr>
                <w:rFonts w:cs="Arial"/>
                <w:i/>
                <w:sz w:val="20"/>
                <w:szCs w:val="20"/>
              </w:rPr>
              <w:t xml:space="preserve">Fusarium </w:t>
            </w:r>
            <w:proofErr w:type="spellStart"/>
            <w:r w:rsidRPr="00061265">
              <w:rPr>
                <w:rFonts w:cs="Arial"/>
                <w:i/>
                <w:sz w:val="20"/>
                <w:szCs w:val="20"/>
              </w:rPr>
              <w:t>oxysporum</w:t>
            </w:r>
            <w:proofErr w:type="spellEnd"/>
          </w:p>
        </w:tc>
        <w:tc>
          <w:tcPr>
            <w:tcW w:w="1240" w:type="dxa"/>
          </w:tcPr>
          <w:p w14:paraId="5D0AB33A" w14:textId="77777777" w:rsidR="00061265" w:rsidRPr="00061265" w:rsidRDefault="00061265" w:rsidP="00061265">
            <w:pPr>
              <w:keepNext/>
              <w:widowControl/>
              <w:rPr>
                <w:rFonts w:cs="Arial"/>
                <w:sz w:val="20"/>
                <w:szCs w:val="20"/>
              </w:rPr>
            </w:pPr>
            <w:r w:rsidRPr="00061265">
              <w:rPr>
                <w:rFonts w:cs="Arial"/>
                <w:sz w:val="20"/>
                <w:szCs w:val="20"/>
              </w:rPr>
              <w:t>2002</w:t>
            </w:r>
          </w:p>
        </w:tc>
      </w:tr>
      <w:tr w:rsidR="00061265" w:rsidRPr="00061265" w14:paraId="5223C9AD" w14:textId="77777777" w:rsidTr="00867AF4">
        <w:tc>
          <w:tcPr>
            <w:tcW w:w="1384" w:type="dxa"/>
          </w:tcPr>
          <w:p w14:paraId="2798EBF6" w14:textId="77777777" w:rsidR="00061265" w:rsidRPr="00061265" w:rsidRDefault="00061265" w:rsidP="00061265">
            <w:pPr>
              <w:keepNext/>
              <w:widowControl/>
              <w:rPr>
                <w:rFonts w:cs="Arial"/>
                <w:sz w:val="20"/>
                <w:szCs w:val="20"/>
              </w:rPr>
            </w:pPr>
            <w:r w:rsidRPr="00061265">
              <w:rPr>
                <w:rFonts w:cs="Arial"/>
                <w:sz w:val="20"/>
                <w:szCs w:val="20"/>
              </w:rPr>
              <w:t>A516</w:t>
            </w:r>
          </w:p>
        </w:tc>
        <w:tc>
          <w:tcPr>
            <w:tcW w:w="2268" w:type="dxa"/>
          </w:tcPr>
          <w:p w14:paraId="30A10712" w14:textId="77777777" w:rsidR="00061265" w:rsidRPr="00061265" w:rsidRDefault="00061265" w:rsidP="00061265">
            <w:pPr>
              <w:keepNext/>
              <w:widowControl/>
              <w:rPr>
                <w:rFonts w:cs="Arial"/>
                <w:sz w:val="20"/>
                <w:szCs w:val="20"/>
              </w:rPr>
            </w:pPr>
            <w:r w:rsidRPr="00061265">
              <w:rPr>
                <w:rFonts w:cs="Arial"/>
                <w:sz w:val="20"/>
                <w:szCs w:val="20"/>
              </w:rPr>
              <w:t xml:space="preserve">Biocatalysts Ltd </w:t>
            </w:r>
          </w:p>
        </w:tc>
        <w:tc>
          <w:tcPr>
            <w:tcW w:w="4394" w:type="dxa"/>
          </w:tcPr>
          <w:p w14:paraId="2C991B0D" w14:textId="77777777" w:rsidR="00061265" w:rsidRPr="00061265" w:rsidRDefault="00061265" w:rsidP="00061265">
            <w:pPr>
              <w:keepNext/>
              <w:widowControl/>
              <w:rPr>
                <w:rFonts w:cs="Arial"/>
                <w:i/>
                <w:sz w:val="20"/>
                <w:szCs w:val="20"/>
              </w:rPr>
            </w:pPr>
            <w:r w:rsidRPr="00061265">
              <w:rPr>
                <w:rFonts w:cs="Arial"/>
                <w:i/>
                <w:sz w:val="20"/>
                <w:szCs w:val="20"/>
              </w:rPr>
              <w:t xml:space="preserve">Candida </w:t>
            </w:r>
            <w:proofErr w:type="spellStart"/>
            <w:r w:rsidRPr="00061265">
              <w:rPr>
                <w:rFonts w:cs="Arial"/>
                <w:i/>
                <w:sz w:val="20"/>
                <w:szCs w:val="20"/>
              </w:rPr>
              <w:t>rugosa</w:t>
            </w:r>
            <w:proofErr w:type="spellEnd"/>
          </w:p>
        </w:tc>
        <w:tc>
          <w:tcPr>
            <w:tcW w:w="1240" w:type="dxa"/>
          </w:tcPr>
          <w:p w14:paraId="08AF8F94" w14:textId="77777777" w:rsidR="00061265" w:rsidRPr="00061265" w:rsidRDefault="00061265" w:rsidP="00061265">
            <w:pPr>
              <w:keepNext/>
              <w:widowControl/>
              <w:rPr>
                <w:rFonts w:cs="Arial"/>
                <w:sz w:val="20"/>
                <w:szCs w:val="20"/>
              </w:rPr>
            </w:pPr>
            <w:r w:rsidRPr="00061265">
              <w:rPr>
                <w:rFonts w:cs="Arial"/>
                <w:sz w:val="20"/>
                <w:szCs w:val="20"/>
              </w:rPr>
              <w:t>2005</w:t>
            </w:r>
          </w:p>
        </w:tc>
      </w:tr>
      <w:tr w:rsidR="00061265" w:rsidRPr="00061265" w14:paraId="58362098" w14:textId="77777777" w:rsidTr="00867AF4">
        <w:tc>
          <w:tcPr>
            <w:tcW w:w="1384" w:type="dxa"/>
          </w:tcPr>
          <w:p w14:paraId="41FCD26E" w14:textId="77777777" w:rsidR="00061265" w:rsidRPr="00061265" w:rsidRDefault="00061265" w:rsidP="00061265">
            <w:pPr>
              <w:keepNext/>
              <w:widowControl/>
              <w:rPr>
                <w:rFonts w:cs="Arial"/>
                <w:sz w:val="20"/>
                <w:szCs w:val="20"/>
              </w:rPr>
            </w:pPr>
            <w:r w:rsidRPr="00061265">
              <w:rPr>
                <w:rFonts w:cs="Arial"/>
                <w:sz w:val="20"/>
                <w:szCs w:val="20"/>
              </w:rPr>
              <w:t>A517</w:t>
            </w:r>
          </w:p>
        </w:tc>
        <w:tc>
          <w:tcPr>
            <w:tcW w:w="2268" w:type="dxa"/>
          </w:tcPr>
          <w:p w14:paraId="1B21A4F9" w14:textId="77777777" w:rsidR="00061265" w:rsidRPr="00061265" w:rsidRDefault="00061265" w:rsidP="00061265">
            <w:pPr>
              <w:keepNext/>
              <w:widowControl/>
              <w:rPr>
                <w:rFonts w:cs="Arial"/>
                <w:sz w:val="20"/>
                <w:szCs w:val="20"/>
              </w:rPr>
            </w:pPr>
            <w:r w:rsidRPr="00061265">
              <w:rPr>
                <w:rFonts w:cs="Arial"/>
                <w:sz w:val="20"/>
                <w:szCs w:val="20"/>
              </w:rPr>
              <w:t xml:space="preserve">Biocatalysts Ltd </w:t>
            </w:r>
          </w:p>
        </w:tc>
        <w:tc>
          <w:tcPr>
            <w:tcW w:w="4394" w:type="dxa"/>
          </w:tcPr>
          <w:p w14:paraId="74C2A438" w14:textId="77777777" w:rsidR="00061265" w:rsidRPr="00061265" w:rsidRDefault="00061265" w:rsidP="00061265">
            <w:pPr>
              <w:keepNext/>
              <w:widowControl/>
              <w:rPr>
                <w:rFonts w:cs="Arial"/>
                <w:i/>
                <w:sz w:val="20"/>
                <w:szCs w:val="20"/>
              </w:rPr>
            </w:pPr>
            <w:proofErr w:type="spellStart"/>
            <w:r w:rsidRPr="00061265">
              <w:rPr>
                <w:rFonts w:cs="Arial"/>
                <w:i/>
                <w:sz w:val="20"/>
                <w:szCs w:val="20"/>
              </w:rPr>
              <w:t>Mucor</w:t>
            </w:r>
            <w:proofErr w:type="spellEnd"/>
            <w:r w:rsidRPr="00061265">
              <w:rPr>
                <w:rFonts w:cs="Arial"/>
                <w:i/>
                <w:sz w:val="20"/>
                <w:szCs w:val="20"/>
              </w:rPr>
              <w:t xml:space="preserve"> </w:t>
            </w:r>
            <w:proofErr w:type="spellStart"/>
            <w:r w:rsidRPr="00061265">
              <w:rPr>
                <w:rFonts w:cs="Arial"/>
                <w:i/>
                <w:sz w:val="20"/>
                <w:szCs w:val="20"/>
              </w:rPr>
              <w:t>javanicus</w:t>
            </w:r>
            <w:proofErr w:type="spellEnd"/>
          </w:p>
        </w:tc>
        <w:tc>
          <w:tcPr>
            <w:tcW w:w="1240" w:type="dxa"/>
          </w:tcPr>
          <w:p w14:paraId="6A22E849" w14:textId="77777777" w:rsidR="00061265" w:rsidRPr="00061265" w:rsidRDefault="00061265" w:rsidP="00061265">
            <w:pPr>
              <w:keepNext/>
              <w:widowControl/>
              <w:rPr>
                <w:rFonts w:cs="Arial"/>
                <w:sz w:val="20"/>
                <w:szCs w:val="20"/>
              </w:rPr>
            </w:pPr>
            <w:r w:rsidRPr="00061265">
              <w:rPr>
                <w:rFonts w:cs="Arial"/>
                <w:sz w:val="20"/>
                <w:szCs w:val="20"/>
              </w:rPr>
              <w:t>2006</w:t>
            </w:r>
          </w:p>
        </w:tc>
      </w:tr>
      <w:tr w:rsidR="00061265" w:rsidRPr="00061265" w14:paraId="4F542C66" w14:textId="77777777" w:rsidTr="00867AF4">
        <w:tc>
          <w:tcPr>
            <w:tcW w:w="1384" w:type="dxa"/>
          </w:tcPr>
          <w:p w14:paraId="2F8D4C86" w14:textId="77777777" w:rsidR="00061265" w:rsidRPr="00061265" w:rsidRDefault="00061265" w:rsidP="00061265">
            <w:pPr>
              <w:keepNext/>
              <w:widowControl/>
              <w:rPr>
                <w:rFonts w:cs="Arial"/>
                <w:sz w:val="20"/>
                <w:szCs w:val="20"/>
              </w:rPr>
            </w:pPr>
            <w:r w:rsidRPr="00061265">
              <w:rPr>
                <w:rFonts w:cs="Arial"/>
                <w:sz w:val="20"/>
                <w:szCs w:val="20"/>
              </w:rPr>
              <w:t>A519</w:t>
            </w:r>
          </w:p>
        </w:tc>
        <w:tc>
          <w:tcPr>
            <w:tcW w:w="2268" w:type="dxa"/>
          </w:tcPr>
          <w:p w14:paraId="5ABD7A55" w14:textId="77777777" w:rsidR="00061265" w:rsidRPr="00061265" w:rsidRDefault="00061265" w:rsidP="00061265">
            <w:pPr>
              <w:keepNext/>
              <w:widowControl/>
              <w:rPr>
                <w:rFonts w:cs="Arial"/>
                <w:sz w:val="20"/>
                <w:szCs w:val="20"/>
              </w:rPr>
            </w:pPr>
            <w:r w:rsidRPr="00061265">
              <w:rPr>
                <w:rFonts w:cs="Arial"/>
                <w:sz w:val="20"/>
                <w:szCs w:val="20"/>
              </w:rPr>
              <w:t xml:space="preserve">Biocatalysts Ltd </w:t>
            </w:r>
          </w:p>
        </w:tc>
        <w:tc>
          <w:tcPr>
            <w:tcW w:w="4394" w:type="dxa"/>
          </w:tcPr>
          <w:p w14:paraId="320AFDEC" w14:textId="77777777" w:rsidR="00061265" w:rsidRPr="00061265" w:rsidRDefault="00061265" w:rsidP="00061265">
            <w:pPr>
              <w:keepNext/>
              <w:widowControl/>
              <w:rPr>
                <w:rFonts w:cs="Arial"/>
                <w:i/>
                <w:sz w:val="20"/>
                <w:szCs w:val="20"/>
              </w:rPr>
            </w:pPr>
            <w:proofErr w:type="spellStart"/>
            <w:r w:rsidRPr="00061265">
              <w:rPr>
                <w:rFonts w:cs="Arial"/>
                <w:i/>
                <w:sz w:val="20"/>
                <w:szCs w:val="20"/>
              </w:rPr>
              <w:t>Penicillium</w:t>
            </w:r>
            <w:proofErr w:type="spellEnd"/>
            <w:r w:rsidRPr="00061265">
              <w:rPr>
                <w:rFonts w:cs="Arial"/>
                <w:i/>
                <w:sz w:val="20"/>
                <w:szCs w:val="20"/>
              </w:rPr>
              <w:t xml:space="preserve"> </w:t>
            </w:r>
            <w:proofErr w:type="spellStart"/>
            <w:r w:rsidRPr="00061265">
              <w:rPr>
                <w:rFonts w:cs="Arial"/>
                <w:i/>
                <w:sz w:val="20"/>
                <w:szCs w:val="20"/>
              </w:rPr>
              <w:t>roquefortii</w:t>
            </w:r>
            <w:proofErr w:type="spellEnd"/>
          </w:p>
        </w:tc>
        <w:tc>
          <w:tcPr>
            <w:tcW w:w="1240" w:type="dxa"/>
          </w:tcPr>
          <w:p w14:paraId="6ABC27EA" w14:textId="77777777" w:rsidR="00061265" w:rsidRPr="00061265" w:rsidRDefault="00061265" w:rsidP="00061265">
            <w:pPr>
              <w:keepNext/>
              <w:widowControl/>
              <w:rPr>
                <w:rFonts w:cs="Arial"/>
                <w:sz w:val="20"/>
                <w:szCs w:val="20"/>
              </w:rPr>
            </w:pPr>
            <w:r w:rsidRPr="00061265">
              <w:rPr>
                <w:rFonts w:cs="Arial"/>
                <w:sz w:val="20"/>
                <w:szCs w:val="20"/>
              </w:rPr>
              <w:t>2006</w:t>
            </w:r>
          </w:p>
        </w:tc>
      </w:tr>
      <w:tr w:rsidR="00061265" w:rsidRPr="00061265" w14:paraId="20FA35BD" w14:textId="77777777" w:rsidTr="00867AF4">
        <w:tc>
          <w:tcPr>
            <w:tcW w:w="1384" w:type="dxa"/>
          </w:tcPr>
          <w:p w14:paraId="6B383093" w14:textId="77777777" w:rsidR="00061265" w:rsidRPr="00061265" w:rsidRDefault="00061265" w:rsidP="00061265">
            <w:pPr>
              <w:keepNext/>
              <w:widowControl/>
              <w:rPr>
                <w:rFonts w:cs="Arial"/>
                <w:sz w:val="20"/>
                <w:szCs w:val="20"/>
              </w:rPr>
            </w:pPr>
            <w:r w:rsidRPr="00061265">
              <w:rPr>
                <w:rFonts w:cs="Arial"/>
                <w:sz w:val="20"/>
                <w:szCs w:val="20"/>
              </w:rPr>
              <w:t>A569</w:t>
            </w:r>
          </w:p>
        </w:tc>
        <w:tc>
          <w:tcPr>
            <w:tcW w:w="2268" w:type="dxa"/>
          </w:tcPr>
          <w:p w14:paraId="65AC6A57" w14:textId="77777777" w:rsidR="00061265" w:rsidRPr="00061265" w:rsidRDefault="00061265" w:rsidP="00061265">
            <w:pPr>
              <w:keepNext/>
              <w:widowControl/>
              <w:rPr>
                <w:rFonts w:cs="Arial"/>
                <w:sz w:val="20"/>
                <w:szCs w:val="20"/>
              </w:rPr>
            </w:pPr>
            <w:proofErr w:type="spellStart"/>
            <w:r w:rsidRPr="00061265">
              <w:rPr>
                <w:rFonts w:cs="Arial"/>
                <w:sz w:val="20"/>
                <w:szCs w:val="20"/>
              </w:rPr>
              <w:t>Danisco</w:t>
            </w:r>
            <w:proofErr w:type="spellEnd"/>
            <w:r w:rsidRPr="00061265">
              <w:rPr>
                <w:rFonts w:cs="Arial"/>
                <w:sz w:val="20"/>
                <w:szCs w:val="20"/>
              </w:rPr>
              <w:t xml:space="preserve"> Australia Pty Ltd (now DuPont </w:t>
            </w:r>
            <w:proofErr w:type="spellStart"/>
            <w:r w:rsidRPr="00061265">
              <w:rPr>
                <w:rFonts w:cs="Arial"/>
                <w:sz w:val="20"/>
                <w:szCs w:val="20"/>
              </w:rPr>
              <w:t>Danisco</w:t>
            </w:r>
            <w:proofErr w:type="spellEnd"/>
            <w:r w:rsidRPr="00061265">
              <w:rPr>
                <w:rFonts w:cs="Arial"/>
                <w:sz w:val="20"/>
                <w:szCs w:val="20"/>
              </w:rPr>
              <w:t>)</w:t>
            </w:r>
          </w:p>
        </w:tc>
        <w:tc>
          <w:tcPr>
            <w:tcW w:w="4394" w:type="dxa"/>
          </w:tcPr>
          <w:p w14:paraId="22787DE0" w14:textId="77777777" w:rsidR="00061265" w:rsidRPr="00061265" w:rsidRDefault="00061265" w:rsidP="00061265">
            <w:pPr>
              <w:keepNext/>
              <w:widowControl/>
              <w:rPr>
                <w:rFonts w:cs="Arial"/>
                <w:sz w:val="20"/>
                <w:szCs w:val="20"/>
              </w:rPr>
            </w:pPr>
            <w:proofErr w:type="spellStart"/>
            <w:r w:rsidRPr="00061265">
              <w:rPr>
                <w:rFonts w:cs="Arial"/>
                <w:sz w:val="20"/>
                <w:szCs w:val="20"/>
              </w:rPr>
              <w:t>Hansenula</w:t>
            </w:r>
            <w:proofErr w:type="spellEnd"/>
            <w:r w:rsidRPr="00061265">
              <w:rPr>
                <w:rFonts w:cs="Arial"/>
                <w:sz w:val="20"/>
                <w:szCs w:val="20"/>
              </w:rPr>
              <w:t xml:space="preserve"> </w:t>
            </w:r>
            <w:proofErr w:type="spellStart"/>
            <w:r w:rsidRPr="00061265">
              <w:rPr>
                <w:rFonts w:cs="Arial"/>
                <w:sz w:val="20"/>
                <w:szCs w:val="20"/>
              </w:rPr>
              <w:t>polymorpha</w:t>
            </w:r>
            <w:proofErr w:type="spellEnd"/>
            <w:r w:rsidRPr="00061265">
              <w:rPr>
                <w:rFonts w:cs="Arial"/>
                <w:sz w:val="20"/>
                <w:szCs w:val="20"/>
              </w:rPr>
              <w:t xml:space="preserve">, containing the gene for lipase, triacylglycerol isolated from </w:t>
            </w:r>
            <w:r w:rsidRPr="00061265">
              <w:rPr>
                <w:rFonts w:cs="Arial"/>
                <w:i/>
                <w:sz w:val="20"/>
                <w:szCs w:val="20"/>
              </w:rPr>
              <w:t xml:space="preserve">Fusarium </w:t>
            </w:r>
            <w:proofErr w:type="spellStart"/>
            <w:r w:rsidRPr="00061265">
              <w:rPr>
                <w:rFonts w:cs="Arial"/>
                <w:i/>
                <w:sz w:val="20"/>
                <w:szCs w:val="20"/>
              </w:rPr>
              <w:t>heterosporum</w:t>
            </w:r>
            <w:proofErr w:type="spellEnd"/>
          </w:p>
        </w:tc>
        <w:tc>
          <w:tcPr>
            <w:tcW w:w="1240" w:type="dxa"/>
          </w:tcPr>
          <w:p w14:paraId="0381ADEE" w14:textId="77777777" w:rsidR="00061265" w:rsidRPr="00061265" w:rsidRDefault="00061265" w:rsidP="00061265">
            <w:pPr>
              <w:keepNext/>
              <w:widowControl/>
              <w:rPr>
                <w:rFonts w:cs="Arial"/>
                <w:sz w:val="20"/>
                <w:szCs w:val="20"/>
              </w:rPr>
            </w:pPr>
            <w:r w:rsidRPr="00061265">
              <w:rPr>
                <w:rFonts w:cs="Arial"/>
                <w:sz w:val="20"/>
                <w:szCs w:val="20"/>
              </w:rPr>
              <w:t>2006</w:t>
            </w:r>
          </w:p>
        </w:tc>
      </w:tr>
      <w:tr w:rsidR="00061265" w:rsidRPr="00061265" w14:paraId="4A496336" w14:textId="77777777" w:rsidTr="00867AF4">
        <w:tc>
          <w:tcPr>
            <w:tcW w:w="1384" w:type="dxa"/>
          </w:tcPr>
          <w:p w14:paraId="39EC68EE" w14:textId="77777777" w:rsidR="00061265" w:rsidRPr="00061265" w:rsidRDefault="00061265" w:rsidP="00061265">
            <w:pPr>
              <w:keepNext/>
              <w:widowControl/>
              <w:rPr>
                <w:rFonts w:cs="Arial"/>
                <w:sz w:val="20"/>
                <w:szCs w:val="20"/>
              </w:rPr>
            </w:pPr>
            <w:r w:rsidRPr="00061265">
              <w:rPr>
                <w:rFonts w:cs="Arial"/>
                <w:sz w:val="20"/>
                <w:szCs w:val="20"/>
              </w:rPr>
              <w:t>A1036</w:t>
            </w:r>
          </w:p>
        </w:tc>
        <w:tc>
          <w:tcPr>
            <w:tcW w:w="2268" w:type="dxa"/>
          </w:tcPr>
          <w:p w14:paraId="3D824110" w14:textId="77777777" w:rsidR="00061265" w:rsidRPr="00061265" w:rsidRDefault="00061265" w:rsidP="00061265">
            <w:pPr>
              <w:keepNext/>
              <w:widowControl/>
              <w:rPr>
                <w:rFonts w:cs="Arial"/>
                <w:sz w:val="20"/>
                <w:szCs w:val="20"/>
              </w:rPr>
            </w:pPr>
            <w:r w:rsidRPr="00061265">
              <w:rPr>
                <w:rFonts w:cs="Arial"/>
                <w:sz w:val="20"/>
                <w:szCs w:val="20"/>
              </w:rPr>
              <w:t>DSM Food Specialties</w:t>
            </w:r>
          </w:p>
        </w:tc>
        <w:tc>
          <w:tcPr>
            <w:tcW w:w="4394" w:type="dxa"/>
          </w:tcPr>
          <w:p w14:paraId="4906CB0B" w14:textId="77777777" w:rsidR="00061265" w:rsidRPr="00061265" w:rsidRDefault="00061265" w:rsidP="00061265">
            <w:pPr>
              <w:keepNext/>
              <w:widowControl/>
              <w:rPr>
                <w:rFonts w:cs="Arial"/>
                <w:sz w:val="20"/>
                <w:szCs w:val="20"/>
              </w:rPr>
            </w:pPr>
            <w:r w:rsidRPr="00061265">
              <w:rPr>
                <w:rFonts w:cs="Arial"/>
                <w:sz w:val="20"/>
                <w:szCs w:val="20"/>
              </w:rPr>
              <w:t>Protein engineered variant</w:t>
            </w:r>
          </w:p>
          <w:p w14:paraId="24A842BC" w14:textId="77777777" w:rsidR="00061265" w:rsidRPr="00061265" w:rsidRDefault="00061265" w:rsidP="00061265">
            <w:pPr>
              <w:keepNext/>
              <w:widowControl/>
              <w:rPr>
                <w:rFonts w:cs="Arial"/>
                <w:sz w:val="20"/>
                <w:szCs w:val="20"/>
              </w:rPr>
            </w:pPr>
            <w:r w:rsidRPr="00061265">
              <w:rPr>
                <w:rFonts w:cs="Arial"/>
                <w:i/>
                <w:sz w:val="20"/>
                <w:szCs w:val="20"/>
              </w:rPr>
              <w:t xml:space="preserve">Aspergillus </w:t>
            </w:r>
            <w:proofErr w:type="spellStart"/>
            <w:r w:rsidRPr="00061265">
              <w:rPr>
                <w:rFonts w:cs="Arial"/>
                <w:i/>
                <w:sz w:val="20"/>
                <w:szCs w:val="20"/>
              </w:rPr>
              <w:t>niger</w:t>
            </w:r>
            <w:proofErr w:type="spellEnd"/>
            <w:r w:rsidRPr="00061265">
              <w:rPr>
                <w:rFonts w:cs="Arial"/>
                <w:sz w:val="20"/>
                <w:szCs w:val="20"/>
              </w:rPr>
              <w:t xml:space="preserve">, containing the gene for lipase, triacylglycerol isolated from </w:t>
            </w:r>
            <w:r w:rsidRPr="00061265">
              <w:rPr>
                <w:rFonts w:cs="Arial"/>
                <w:i/>
                <w:sz w:val="20"/>
                <w:szCs w:val="20"/>
              </w:rPr>
              <w:t xml:space="preserve">Fusarium </w:t>
            </w:r>
            <w:proofErr w:type="spellStart"/>
            <w:r w:rsidRPr="00061265">
              <w:rPr>
                <w:rFonts w:cs="Arial"/>
                <w:i/>
                <w:sz w:val="20"/>
                <w:szCs w:val="20"/>
              </w:rPr>
              <w:t>culmorum</w:t>
            </w:r>
            <w:proofErr w:type="spellEnd"/>
          </w:p>
        </w:tc>
        <w:tc>
          <w:tcPr>
            <w:tcW w:w="1240" w:type="dxa"/>
          </w:tcPr>
          <w:p w14:paraId="6614E2B0" w14:textId="77777777" w:rsidR="00061265" w:rsidRPr="00061265" w:rsidRDefault="00061265" w:rsidP="00061265">
            <w:pPr>
              <w:keepNext/>
              <w:widowControl/>
              <w:rPr>
                <w:rFonts w:cs="Arial"/>
                <w:sz w:val="20"/>
                <w:szCs w:val="20"/>
              </w:rPr>
            </w:pPr>
            <w:r w:rsidRPr="00061265">
              <w:rPr>
                <w:rFonts w:cs="Arial"/>
                <w:sz w:val="20"/>
                <w:szCs w:val="20"/>
              </w:rPr>
              <w:t>2010</w:t>
            </w:r>
          </w:p>
        </w:tc>
      </w:tr>
    </w:tbl>
    <w:p w14:paraId="7C6FF052" w14:textId="77777777" w:rsidR="00061265" w:rsidRPr="00061265" w:rsidRDefault="00061265" w:rsidP="00061265">
      <w:pPr>
        <w:keepNext/>
        <w:keepLines/>
        <w:widowControl/>
        <w:spacing w:before="240" w:after="240"/>
        <w:ind w:left="851" w:hanging="851"/>
        <w:outlineLvl w:val="2"/>
        <w:rPr>
          <w:b/>
          <w:bCs/>
          <w:color w:val="000000" w:themeColor="text1"/>
          <w:lang w:eastAsia="en-AU" w:bidi="ar-SA"/>
        </w:rPr>
      </w:pPr>
      <w:bookmarkStart w:id="26" w:name="_Toc392138895"/>
      <w:bookmarkStart w:id="27" w:name="_Toc402946760"/>
      <w:bookmarkStart w:id="28" w:name="_Toc408481338"/>
      <w:bookmarkStart w:id="29" w:name="_Toc422314544"/>
      <w:bookmarkStart w:id="30" w:name="_Toc485991547"/>
      <w:r w:rsidRPr="00061265">
        <w:rPr>
          <w:b/>
          <w:bCs/>
          <w:color w:val="000000" w:themeColor="text1"/>
          <w:lang w:eastAsia="en-AU" w:bidi="ar-SA"/>
        </w:rPr>
        <w:t>1.3.1</w:t>
      </w:r>
      <w:r w:rsidRPr="00061265">
        <w:rPr>
          <w:b/>
          <w:bCs/>
          <w:color w:val="000000" w:themeColor="text1"/>
          <w:lang w:eastAsia="en-AU" w:bidi="ar-SA"/>
        </w:rPr>
        <w:tab/>
        <w:t>International Standards</w:t>
      </w:r>
      <w:bookmarkEnd w:id="26"/>
      <w:bookmarkEnd w:id="27"/>
      <w:bookmarkEnd w:id="28"/>
      <w:bookmarkEnd w:id="29"/>
      <w:bookmarkEnd w:id="30"/>
    </w:p>
    <w:p w14:paraId="6D637498" w14:textId="0D9E0EC2" w:rsidR="00061265" w:rsidRPr="00061265" w:rsidRDefault="00061265" w:rsidP="00061265">
      <w:r w:rsidRPr="00061265">
        <w:t>The enzyme preparation has been approved for use in food production in Japan and China</w:t>
      </w:r>
      <w:r w:rsidRPr="00061265">
        <w:rPr>
          <w:noProof/>
        </w:rPr>
        <w:t>.</w:t>
      </w:r>
    </w:p>
    <w:p w14:paraId="1B7CE056" w14:textId="03A8E5FF" w:rsidR="00061265" w:rsidRPr="00061265" w:rsidRDefault="00061265" w:rsidP="00061265"/>
    <w:p w14:paraId="20B6F320" w14:textId="0326E212" w:rsidR="00061265" w:rsidRPr="00061265" w:rsidRDefault="00061265" w:rsidP="00061265">
      <w:r w:rsidRPr="00061265">
        <w:t xml:space="preserve">The Codex </w:t>
      </w:r>
      <w:proofErr w:type="spellStart"/>
      <w:r w:rsidRPr="00061265">
        <w:t>Alimentarius</w:t>
      </w:r>
      <w:proofErr w:type="spellEnd"/>
      <w:r w:rsidRPr="00061265">
        <w:t xml:space="preserve"> does not establish Standards for processing aids or for enzymes. Individual countries regulate the use of enzymes differently to the Code. </w:t>
      </w:r>
    </w:p>
    <w:p w14:paraId="2599C8BA" w14:textId="77777777" w:rsidR="00061265" w:rsidRPr="00061265" w:rsidRDefault="00061265" w:rsidP="00061265"/>
    <w:p w14:paraId="17B64098" w14:textId="77777777" w:rsidR="00061265" w:rsidRPr="00061265" w:rsidRDefault="00061265" w:rsidP="00061265">
      <w:r w:rsidRPr="00061265">
        <w:t xml:space="preserve">However, there are internationally recognised specifications for enzymes. These enzyme specifications are established by the Joint FAO/WHO Expert Committee on Food Additives </w:t>
      </w:r>
      <w:r w:rsidRPr="00061265">
        <w:rPr>
          <w:noProof/>
        </w:rPr>
        <w:t>(JECFA 2006)</w:t>
      </w:r>
      <w:r w:rsidRPr="00061265">
        <w:t xml:space="preserve"> and the Food Chemicals Codex (Food Chemicals Codex 2014).</w:t>
      </w:r>
    </w:p>
    <w:p w14:paraId="45D8C376" w14:textId="77777777" w:rsidR="00061265" w:rsidRPr="00061265" w:rsidRDefault="00061265" w:rsidP="00061265">
      <w:pPr>
        <w:keepNext/>
        <w:spacing w:before="240" w:after="240"/>
        <w:ind w:left="851" w:hanging="851"/>
        <w:outlineLvl w:val="1"/>
        <w:rPr>
          <w:rFonts w:cs="Arial"/>
          <w:b/>
          <w:bCs/>
          <w:sz w:val="28"/>
          <w:szCs w:val="22"/>
          <w:u w:color="FFFF00"/>
          <w:lang w:bidi="ar-SA"/>
        </w:rPr>
      </w:pPr>
      <w:bookmarkStart w:id="31" w:name="_Toc485991548"/>
      <w:r w:rsidRPr="00061265">
        <w:rPr>
          <w:rFonts w:cs="Arial"/>
          <w:b/>
          <w:bCs/>
          <w:sz w:val="28"/>
          <w:szCs w:val="22"/>
          <w:u w:color="FFFF00"/>
          <w:lang w:bidi="ar-SA"/>
        </w:rPr>
        <w:t>1.4</w:t>
      </w:r>
      <w:r w:rsidRPr="00061265">
        <w:rPr>
          <w:rFonts w:cs="Arial"/>
          <w:b/>
          <w:bCs/>
          <w:sz w:val="28"/>
          <w:szCs w:val="22"/>
          <w:u w:color="FFFF00"/>
          <w:lang w:bidi="ar-SA"/>
        </w:rPr>
        <w:tab/>
        <w:t>Reasons for accepting Application</w:t>
      </w:r>
      <w:bookmarkEnd w:id="23"/>
      <w:bookmarkEnd w:id="31"/>
      <w:r w:rsidRPr="00061265">
        <w:rPr>
          <w:rFonts w:cs="Arial"/>
          <w:b/>
          <w:bCs/>
          <w:sz w:val="28"/>
          <w:szCs w:val="22"/>
          <w:u w:color="FFFF00"/>
          <w:lang w:bidi="ar-SA"/>
        </w:rPr>
        <w:t xml:space="preserve"> </w:t>
      </w:r>
      <w:bookmarkEnd w:id="24"/>
    </w:p>
    <w:bookmarkEnd w:id="25"/>
    <w:p w14:paraId="27CF6135" w14:textId="77777777" w:rsidR="00061265" w:rsidRPr="00061265" w:rsidRDefault="00061265" w:rsidP="00061265">
      <w:r w:rsidRPr="00061265">
        <w:t>The Application was accepted for assessment because:</w:t>
      </w:r>
    </w:p>
    <w:p w14:paraId="59D0F1D7" w14:textId="77777777" w:rsidR="00061265" w:rsidRPr="00061265" w:rsidRDefault="00061265" w:rsidP="00061265"/>
    <w:p w14:paraId="3FDA98CD" w14:textId="77777777" w:rsidR="00061265" w:rsidRPr="00061265" w:rsidRDefault="00061265" w:rsidP="00DF4533">
      <w:pPr>
        <w:pStyle w:val="FSBullet1"/>
      </w:pPr>
      <w:r w:rsidRPr="00061265">
        <w:t>it complied with the procedural requirements under subsection 22(2) of the FSANZ Act</w:t>
      </w:r>
    </w:p>
    <w:p w14:paraId="4024C631" w14:textId="77777777" w:rsidR="00061265" w:rsidRPr="00061265" w:rsidRDefault="00061265" w:rsidP="00DF4533">
      <w:pPr>
        <w:pStyle w:val="FSBullet1"/>
      </w:pPr>
      <w:proofErr w:type="gramStart"/>
      <w:r w:rsidRPr="00061265">
        <w:t>it</w:t>
      </w:r>
      <w:proofErr w:type="gramEnd"/>
      <w:r w:rsidRPr="00061265">
        <w:t xml:space="preserve"> related to a matter that warranted the variation of a food regulatory measure.</w:t>
      </w:r>
    </w:p>
    <w:p w14:paraId="5DD417D9" w14:textId="77777777" w:rsidR="00061265" w:rsidRPr="00061265" w:rsidRDefault="00061265" w:rsidP="00061265">
      <w:pPr>
        <w:keepNext/>
        <w:spacing w:before="240" w:after="240"/>
        <w:ind w:left="851" w:hanging="851"/>
        <w:outlineLvl w:val="1"/>
        <w:rPr>
          <w:rFonts w:cs="Arial"/>
          <w:b/>
          <w:bCs/>
          <w:sz w:val="28"/>
          <w:szCs w:val="22"/>
          <w:lang w:bidi="ar-SA"/>
        </w:rPr>
      </w:pPr>
      <w:bookmarkStart w:id="32" w:name="_Toc485991549"/>
      <w:r w:rsidRPr="00061265">
        <w:rPr>
          <w:rFonts w:cs="Arial"/>
          <w:b/>
          <w:bCs/>
          <w:sz w:val="28"/>
          <w:szCs w:val="22"/>
          <w:lang w:bidi="ar-SA"/>
        </w:rPr>
        <w:t>1.5</w:t>
      </w:r>
      <w:r w:rsidRPr="00061265">
        <w:rPr>
          <w:rFonts w:cs="Arial"/>
          <w:b/>
          <w:bCs/>
          <w:sz w:val="28"/>
          <w:szCs w:val="22"/>
          <w:lang w:bidi="ar-SA"/>
        </w:rPr>
        <w:tab/>
        <w:t>Procedure for assessment</w:t>
      </w:r>
      <w:bookmarkEnd w:id="32"/>
    </w:p>
    <w:p w14:paraId="2CA3B5B4" w14:textId="3381F5CC" w:rsidR="00061265" w:rsidRPr="00061265" w:rsidRDefault="00061265" w:rsidP="00061265">
      <w:r w:rsidRPr="00061265">
        <w:t xml:space="preserve">The Application </w:t>
      </w:r>
      <w:r w:rsidR="00DF4533">
        <w:t>was</w:t>
      </w:r>
      <w:r w:rsidRPr="00061265">
        <w:t xml:space="preserve"> assessed under the General Procedure.</w:t>
      </w:r>
    </w:p>
    <w:p w14:paraId="1F7E7403" w14:textId="77777777" w:rsidR="00061265" w:rsidRPr="00061265" w:rsidRDefault="00061265" w:rsidP="00061265"/>
    <w:p w14:paraId="1FFB3986" w14:textId="77777777" w:rsidR="0012388D" w:rsidRDefault="007A53BF" w:rsidP="00755F02">
      <w:pPr>
        <w:pStyle w:val="Heading1"/>
      </w:pPr>
      <w:bookmarkStart w:id="33" w:name="_Toc494789946"/>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03DA81BB" w14:textId="77777777" w:rsidR="007A53BF" w:rsidRDefault="007A53BF" w:rsidP="007A53BF">
      <w:pPr>
        <w:pStyle w:val="Heading2"/>
      </w:pPr>
      <w:bookmarkStart w:id="40" w:name="_Toc300933438"/>
      <w:bookmarkStart w:id="41" w:name="_Toc370223471"/>
      <w:bookmarkStart w:id="42" w:name="_Toc370225386"/>
      <w:bookmarkStart w:id="43" w:name="_Toc494789947"/>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206F1360" w14:textId="28380D6C" w:rsidR="00867AF4" w:rsidRDefault="00867AF4" w:rsidP="00867AF4">
      <w:pPr>
        <w:rPr>
          <w:lang w:bidi="ar-SA"/>
        </w:rPr>
      </w:pPr>
      <w:r>
        <w:rPr>
          <w:lang w:bidi="ar-SA"/>
        </w:rPr>
        <w:t xml:space="preserve">FSANZ sought public comments on the draft variation and associated report (the Call for Submissions) between 7 July 2017 and 18 August 2017. </w:t>
      </w:r>
      <w:r w:rsidR="004418F5">
        <w:rPr>
          <w:lang w:bidi="ar-SA"/>
        </w:rPr>
        <w:t>Six</w:t>
      </w:r>
      <w:r>
        <w:rPr>
          <w:lang w:bidi="ar-SA"/>
        </w:rPr>
        <w:t xml:space="preserve"> submissions were received</w:t>
      </w:r>
      <w:r w:rsidR="00137D8F">
        <w:rPr>
          <w:rFonts w:cs="Arial"/>
          <w:lang w:bidi="ar-SA"/>
        </w:rPr>
        <w:t>—</w:t>
      </w:r>
      <w:r w:rsidR="00137D8F">
        <w:rPr>
          <w:lang w:bidi="ar-SA"/>
        </w:rPr>
        <w:t>t</w:t>
      </w:r>
      <w:r w:rsidR="004418F5">
        <w:rPr>
          <w:lang w:bidi="ar-SA"/>
        </w:rPr>
        <w:t>hree from government agencies</w:t>
      </w:r>
      <w:r w:rsidR="00137D8F">
        <w:rPr>
          <w:lang w:bidi="ar-SA"/>
        </w:rPr>
        <w:t>, o</w:t>
      </w:r>
      <w:r w:rsidR="004418F5">
        <w:rPr>
          <w:lang w:bidi="ar-SA"/>
        </w:rPr>
        <w:t xml:space="preserve">ne </w:t>
      </w:r>
      <w:r w:rsidR="001F0994">
        <w:rPr>
          <w:lang w:bidi="ar-SA"/>
        </w:rPr>
        <w:t xml:space="preserve">submission </w:t>
      </w:r>
      <w:r w:rsidR="004418F5">
        <w:rPr>
          <w:lang w:bidi="ar-SA"/>
        </w:rPr>
        <w:t>from a</w:t>
      </w:r>
      <w:r w:rsidR="00137D8F">
        <w:rPr>
          <w:lang w:bidi="ar-SA"/>
        </w:rPr>
        <w:t xml:space="preserve"> New Zealand</w:t>
      </w:r>
      <w:r w:rsidR="004418F5">
        <w:rPr>
          <w:lang w:bidi="ar-SA"/>
        </w:rPr>
        <w:t xml:space="preserve"> industry association</w:t>
      </w:r>
      <w:r w:rsidR="001F0994">
        <w:rPr>
          <w:lang w:bidi="ar-SA"/>
        </w:rPr>
        <w:t xml:space="preserve"> </w:t>
      </w:r>
      <w:r w:rsidR="004418F5">
        <w:rPr>
          <w:lang w:bidi="ar-SA"/>
        </w:rPr>
        <w:t xml:space="preserve">and two (the second one providing additional </w:t>
      </w:r>
      <w:r w:rsidR="00510271">
        <w:rPr>
          <w:lang w:bidi="ar-SA"/>
        </w:rPr>
        <w:t>comments</w:t>
      </w:r>
      <w:r w:rsidR="001F0994" w:rsidRPr="001F0994">
        <w:rPr>
          <w:lang w:bidi="ar-SA"/>
        </w:rPr>
        <w:t xml:space="preserve"> </w:t>
      </w:r>
      <w:r w:rsidR="001F0994">
        <w:rPr>
          <w:lang w:bidi="ar-SA"/>
        </w:rPr>
        <w:t>to its first submission</w:t>
      </w:r>
      <w:r w:rsidR="00510271">
        <w:rPr>
          <w:lang w:bidi="ar-SA"/>
        </w:rPr>
        <w:t>) from a consumer association.</w:t>
      </w:r>
    </w:p>
    <w:p w14:paraId="6209E081" w14:textId="77777777" w:rsidR="00510271" w:rsidRDefault="00510271" w:rsidP="00867AF4">
      <w:pPr>
        <w:rPr>
          <w:lang w:bidi="ar-SA"/>
        </w:rPr>
      </w:pPr>
    </w:p>
    <w:p w14:paraId="24E17279" w14:textId="0C868CC5" w:rsidR="004418F5" w:rsidRDefault="00137D8F" w:rsidP="00867AF4">
      <w:pPr>
        <w:rPr>
          <w:lang w:bidi="ar-SA"/>
        </w:rPr>
      </w:pPr>
      <w:r>
        <w:rPr>
          <w:lang w:bidi="ar-SA"/>
        </w:rPr>
        <w:t>Details of submissions including i</w:t>
      </w:r>
      <w:r w:rsidR="00510271">
        <w:rPr>
          <w:lang w:bidi="ar-SA"/>
        </w:rPr>
        <w:t xml:space="preserve">ssues raised and FSANZ’s responses are </w:t>
      </w:r>
      <w:r>
        <w:rPr>
          <w:lang w:bidi="ar-SA"/>
        </w:rPr>
        <w:t xml:space="preserve">in </w:t>
      </w:r>
      <w:r w:rsidR="00510271">
        <w:rPr>
          <w:lang w:bidi="ar-SA"/>
        </w:rPr>
        <w:t xml:space="preserve">Table </w:t>
      </w:r>
      <w:r w:rsidR="00DE6ACD">
        <w:rPr>
          <w:lang w:bidi="ar-SA"/>
        </w:rPr>
        <w:t>2</w:t>
      </w:r>
      <w:r>
        <w:rPr>
          <w:lang w:bidi="ar-SA"/>
        </w:rPr>
        <w:t xml:space="preserve"> below. </w:t>
      </w:r>
    </w:p>
    <w:p w14:paraId="4756EEAB" w14:textId="77777777" w:rsidR="004418F5" w:rsidRDefault="004418F5" w:rsidP="00867AF4">
      <w:pPr>
        <w:rPr>
          <w:lang w:bidi="ar-SA"/>
        </w:rPr>
      </w:pPr>
    </w:p>
    <w:p w14:paraId="13F339C7" w14:textId="77777777" w:rsidR="004418F5" w:rsidRDefault="004418F5" w:rsidP="00867AF4">
      <w:pPr>
        <w:rPr>
          <w:lang w:bidi="ar-SA"/>
        </w:rPr>
      </w:pPr>
    </w:p>
    <w:p w14:paraId="7684BF42" w14:textId="77777777" w:rsidR="0041307F" w:rsidRDefault="0041307F" w:rsidP="00867AF4">
      <w:pPr>
        <w:rPr>
          <w:lang w:bidi="ar-SA"/>
        </w:rPr>
        <w:sectPr w:rsidR="0041307F" w:rsidSect="00EB576F">
          <w:pgSz w:w="11906" w:h="16838" w:code="9"/>
          <w:pgMar w:top="1418" w:right="1418" w:bottom="1418" w:left="1418" w:header="709" w:footer="709" w:gutter="0"/>
          <w:pgNumType w:start="1"/>
          <w:cols w:space="708"/>
          <w:docGrid w:linePitch="360"/>
        </w:sectPr>
      </w:pPr>
    </w:p>
    <w:p w14:paraId="70AF9150" w14:textId="5FF49781" w:rsidR="007A53BF" w:rsidRDefault="007A53BF" w:rsidP="007A53BF">
      <w:pPr>
        <w:pStyle w:val="FSTableTitle"/>
      </w:pPr>
      <w:r>
        <w:t xml:space="preserve">Table </w:t>
      </w:r>
      <w:r w:rsidR="00DE6ACD">
        <w:t>2</w:t>
      </w:r>
      <w:r>
        <w:t xml:space="preserve">: Summary of issues </w:t>
      </w:r>
    </w:p>
    <w:p w14:paraId="1A66949D"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SANZ responses to issues raised in submissions"/>
      </w:tblPr>
      <w:tblGrid>
        <w:gridCol w:w="3085"/>
        <w:gridCol w:w="1701"/>
        <w:gridCol w:w="9214"/>
      </w:tblGrid>
      <w:tr w:rsidR="007A53BF" w14:paraId="4B938A93" w14:textId="77777777" w:rsidTr="00F55E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tcPr>
          <w:p w14:paraId="6C6009BF" w14:textId="77777777" w:rsidR="007A53BF" w:rsidRPr="008C4E76" w:rsidRDefault="007A53BF" w:rsidP="008C4E76">
            <w:pPr>
              <w:pStyle w:val="FSTableHeading"/>
              <w:rPr>
                <w:b/>
              </w:rPr>
            </w:pPr>
            <w:r w:rsidRPr="008C4E76">
              <w:rPr>
                <w:b/>
              </w:rPr>
              <w:t>Issue</w:t>
            </w:r>
          </w:p>
        </w:tc>
        <w:tc>
          <w:tcPr>
            <w:tcW w:w="1701" w:type="dxa"/>
            <w:tcBorders>
              <w:top w:val="none" w:sz="0" w:space="0" w:color="auto"/>
              <w:left w:val="none" w:sz="0" w:space="0" w:color="auto"/>
              <w:bottom w:val="none" w:sz="0" w:space="0" w:color="auto"/>
              <w:right w:val="none" w:sz="0" w:space="0" w:color="auto"/>
            </w:tcBorders>
          </w:tcPr>
          <w:p w14:paraId="3B62E5DD"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9214" w:type="dxa"/>
            <w:tcBorders>
              <w:top w:val="none" w:sz="0" w:space="0" w:color="auto"/>
              <w:left w:val="none" w:sz="0" w:space="0" w:color="auto"/>
              <w:bottom w:val="none" w:sz="0" w:space="0" w:color="auto"/>
              <w:right w:val="none" w:sz="0" w:space="0" w:color="auto"/>
            </w:tcBorders>
          </w:tcPr>
          <w:p w14:paraId="5C192454" w14:textId="61343024" w:rsidR="001D43F6" w:rsidRPr="008C4E76" w:rsidRDefault="007A53BF" w:rsidP="000B6880">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7A53BF" w14:paraId="1509CD9F" w14:textId="77777777" w:rsidTr="00F55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7637FDFE" w14:textId="408DE8A3" w:rsidR="007A53BF" w:rsidRPr="000778D6" w:rsidRDefault="00867AF4" w:rsidP="008C4E76">
            <w:pPr>
              <w:pStyle w:val="FSTableText"/>
            </w:pPr>
            <w:r>
              <w:t>Concern expressed that enzymes have been classified (or are being re-classified) as processing aids and not food additives. By doing this they are exempt from food labelling and consumers are being denied this information and consumer choice.</w:t>
            </w:r>
          </w:p>
        </w:tc>
        <w:tc>
          <w:tcPr>
            <w:tcW w:w="1701" w:type="dxa"/>
            <w:tcBorders>
              <w:left w:val="none" w:sz="0" w:space="0" w:color="auto"/>
              <w:right w:val="none" w:sz="0" w:space="0" w:color="auto"/>
            </w:tcBorders>
          </w:tcPr>
          <w:p w14:paraId="5D17FC3F" w14:textId="7DA9A6F7" w:rsidR="007A53BF" w:rsidRPr="000778D6" w:rsidRDefault="00867AF4" w:rsidP="008C4E76">
            <w:pPr>
              <w:pStyle w:val="FSTableText"/>
              <w:cnfStyle w:val="000000100000" w:firstRow="0" w:lastRow="0" w:firstColumn="0" w:lastColumn="0" w:oddVBand="0" w:evenVBand="0" w:oddHBand="1" w:evenHBand="0" w:firstRowFirstColumn="0" w:firstRowLastColumn="0" w:lastRowFirstColumn="0" w:lastRowLastColumn="0"/>
            </w:pPr>
            <w:r>
              <w:t>Food Intolerance Network</w:t>
            </w:r>
          </w:p>
        </w:tc>
        <w:tc>
          <w:tcPr>
            <w:tcW w:w="9214" w:type="dxa"/>
            <w:tcBorders>
              <w:left w:val="none" w:sz="0" w:space="0" w:color="auto"/>
            </w:tcBorders>
          </w:tcPr>
          <w:p w14:paraId="240A7693" w14:textId="706EF29A" w:rsidR="00220D57" w:rsidRDefault="00867AF4" w:rsidP="00867AF4">
            <w:pPr>
              <w:pStyle w:val="FSTableText"/>
              <w:cnfStyle w:val="000000100000" w:firstRow="0" w:lastRow="0" w:firstColumn="0" w:lastColumn="0" w:oddVBand="0" w:evenVBand="0" w:oddHBand="1" w:evenHBand="0" w:firstRowFirstColumn="0" w:firstRowLastColumn="0" w:lastRowFirstColumn="0" w:lastRowLastColumn="0"/>
            </w:pPr>
            <w:r>
              <w:t>The same issue was raised by this submitter for Applications A1125, A1126 and also A1131. FSANZ’s response is unchanged to that provided in the Approval Report for A1125, but is summarised here.</w:t>
            </w:r>
          </w:p>
          <w:p w14:paraId="029E715B" w14:textId="77777777" w:rsidR="00220D57" w:rsidRDefault="00220D57" w:rsidP="00867AF4">
            <w:pPr>
              <w:pStyle w:val="FSTableText"/>
              <w:cnfStyle w:val="000000100000" w:firstRow="0" w:lastRow="0" w:firstColumn="0" w:lastColumn="0" w:oddVBand="0" w:evenVBand="0" w:oddHBand="1" w:evenHBand="0" w:firstRowFirstColumn="0" w:firstRowLastColumn="0" w:lastRowFirstColumn="0" w:lastRowLastColumn="0"/>
            </w:pPr>
          </w:p>
          <w:p w14:paraId="49AF30B4" w14:textId="15AE0BCF" w:rsidR="00220D57" w:rsidRPr="00220D57" w:rsidRDefault="00220D57" w:rsidP="00220D57">
            <w:pPr>
              <w:pStyle w:val="FSTableText"/>
              <w:cnfStyle w:val="000000100000" w:firstRow="0" w:lastRow="0" w:firstColumn="0" w:lastColumn="0" w:oddVBand="0" w:evenVBand="0" w:oddHBand="1" w:evenHBand="0" w:firstRowFirstColumn="0" w:firstRowLastColumn="0" w:lastRowFirstColumn="0" w:lastRowLastColumn="0"/>
            </w:pPr>
            <w:r>
              <w:t>A p</w:t>
            </w:r>
            <w:r w:rsidRPr="00220D57">
              <w:t xml:space="preserve">rocessing aid </w:t>
            </w:r>
            <w:r>
              <w:t>is</w:t>
            </w:r>
            <w:r w:rsidRPr="00220D57">
              <w:t xml:space="preserve"> defined in section 1.1.2—13 </w:t>
            </w:r>
            <w:r>
              <w:t xml:space="preserve">of the Code </w:t>
            </w:r>
            <w:r w:rsidRPr="00220D57">
              <w:t xml:space="preserve">as </w:t>
            </w:r>
            <w:r>
              <w:t xml:space="preserve">a </w:t>
            </w:r>
            <w:r w:rsidRPr="00220D57">
              <w:t xml:space="preserve">substance used </w:t>
            </w:r>
            <w:r>
              <w:t>‘to perform a</w:t>
            </w:r>
            <w:r w:rsidRPr="00220D57">
              <w:t xml:space="preserve"> technological purpose in the course of processing</w:t>
            </w:r>
            <w:r>
              <w:t xml:space="preserve"> [food];</w:t>
            </w:r>
            <w:r w:rsidRPr="00220D57">
              <w:t xml:space="preserve"> and </w:t>
            </w:r>
            <w:r>
              <w:t>does</w:t>
            </w:r>
            <w:r w:rsidRPr="00220D57">
              <w:t xml:space="preserve"> not </w:t>
            </w:r>
            <w:r>
              <w:t>perform</w:t>
            </w:r>
            <w:r w:rsidRPr="00220D57">
              <w:t xml:space="preserve"> a technological purpose in a food for sale</w:t>
            </w:r>
            <w:r>
              <w:t>’</w:t>
            </w:r>
            <w:r w:rsidRPr="00220D57">
              <w:t>. In general, enzymes used in the manufacture of food are captured by this definition and are regulated as processing aids.</w:t>
            </w:r>
            <w:r>
              <w:t xml:space="preserve"> This has not changed; there has not been any re-classification of enzymes.</w:t>
            </w:r>
          </w:p>
          <w:p w14:paraId="60EC3524" w14:textId="77777777" w:rsidR="00220D57" w:rsidRPr="00220D57" w:rsidRDefault="00220D57" w:rsidP="00220D57">
            <w:pPr>
              <w:pStyle w:val="FSTableText"/>
              <w:cnfStyle w:val="000000100000" w:firstRow="0" w:lastRow="0" w:firstColumn="0" w:lastColumn="0" w:oddVBand="0" w:evenVBand="0" w:oddHBand="1" w:evenHBand="0" w:firstRowFirstColumn="0" w:firstRowLastColumn="0" w:lastRowFirstColumn="0" w:lastRowLastColumn="0"/>
            </w:pPr>
          </w:p>
          <w:p w14:paraId="314721C1" w14:textId="1072A8C0" w:rsidR="00220D57" w:rsidRDefault="00220D57" w:rsidP="00220D57">
            <w:pPr>
              <w:pStyle w:val="FSTableText"/>
              <w:cnfStyle w:val="000000100000" w:firstRow="0" w:lastRow="0" w:firstColumn="0" w:lastColumn="0" w:oddVBand="0" w:evenVBand="0" w:oddHBand="1" w:evenHBand="0" w:firstRowFirstColumn="0" w:firstRowLastColumn="0" w:lastRowFirstColumn="0" w:lastRowLastColumn="0"/>
            </w:pPr>
            <w:r w:rsidRPr="00220D57">
              <w:t xml:space="preserve">FSANZ’s assessment of the Application concluded that it was appropriate to permit the </w:t>
            </w:r>
            <w:r>
              <w:t>triacylglycerol lipase</w:t>
            </w:r>
            <w:r w:rsidRPr="00220D57">
              <w:t xml:space="preserve"> enzyme for use in the manufacture of food as a processing aid</w:t>
            </w:r>
            <w:r w:rsidR="000B6880">
              <w:t>.</w:t>
            </w:r>
            <w:r w:rsidRPr="00220D57">
              <w:t xml:space="preserve"> </w:t>
            </w:r>
          </w:p>
          <w:p w14:paraId="19C08A5F" w14:textId="77777777" w:rsidR="000B6880" w:rsidRPr="00220D57" w:rsidRDefault="000B6880" w:rsidP="00220D57">
            <w:pPr>
              <w:pStyle w:val="FSTableText"/>
              <w:cnfStyle w:val="000000100000" w:firstRow="0" w:lastRow="0" w:firstColumn="0" w:lastColumn="0" w:oddVBand="0" w:evenVBand="0" w:oddHBand="1" w:evenHBand="0" w:firstRowFirstColumn="0" w:firstRowLastColumn="0" w:lastRowFirstColumn="0" w:lastRowLastColumn="0"/>
            </w:pPr>
          </w:p>
          <w:p w14:paraId="4B336B16" w14:textId="77777777" w:rsidR="007A53BF" w:rsidRDefault="00220D57" w:rsidP="000B6880">
            <w:pPr>
              <w:pStyle w:val="FSTableText"/>
              <w:cnfStyle w:val="000000100000" w:firstRow="0" w:lastRow="0" w:firstColumn="0" w:lastColumn="0" w:oddVBand="0" w:evenVBand="0" w:oddHBand="1" w:evenHBand="0" w:firstRowFirstColumn="0" w:firstRowLastColumn="0" w:lastRowFirstColumn="0" w:lastRowLastColumn="0"/>
            </w:pPr>
            <w:r w:rsidRPr="00220D57">
              <w:t>The issue of labelling processing aids in the statement of ingredients was considered in 1997 as part of Proposal P143 – Assessment of provisions for the statement of ingredients</w:t>
            </w:r>
            <w:r w:rsidRPr="00220D57">
              <w:rPr>
                <w:vertAlign w:val="superscript"/>
              </w:rPr>
              <w:footnoteReference w:id="3"/>
            </w:r>
            <w:r w:rsidRPr="00220D57">
              <w:t>. The exemption for processing aids was developed as a pragmatic approach taking into account the costs to the food industry of additional labelling and possible benefits to consumers. In addition, the exemption is consistent with labelling requirements internationally</w:t>
            </w:r>
            <w:r w:rsidR="000B6880">
              <w:t xml:space="preserve"> including within Codex </w:t>
            </w:r>
            <w:proofErr w:type="spellStart"/>
            <w:r w:rsidR="000B6880">
              <w:t>Alimentarius</w:t>
            </w:r>
            <w:proofErr w:type="spellEnd"/>
            <w:r w:rsidRPr="00220D57">
              <w:t xml:space="preserve">. </w:t>
            </w:r>
          </w:p>
          <w:p w14:paraId="7C34EA34" w14:textId="75C5668A" w:rsidR="00964A94" w:rsidRPr="000778D6" w:rsidRDefault="00964A94" w:rsidP="000B6880">
            <w:pPr>
              <w:pStyle w:val="FSTableText"/>
              <w:cnfStyle w:val="000000100000" w:firstRow="0" w:lastRow="0" w:firstColumn="0" w:lastColumn="0" w:oddVBand="0" w:evenVBand="0" w:oddHBand="1" w:evenHBand="0" w:firstRowFirstColumn="0" w:firstRowLastColumn="0" w:lastRowFirstColumn="0" w:lastRowLastColumn="0"/>
            </w:pPr>
          </w:p>
        </w:tc>
      </w:tr>
      <w:tr w:rsidR="007A53BF" w14:paraId="5C3F4AE0" w14:textId="77777777" w:rsidTr="00F55E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3422027D" w14:textId="5B0CF094" w:rsidR="007A53BF" w:rsidRPr="000778D6" w:rsidRDefault="001028F9" w:rsidP="008C4E76">
            <w:pPr>
              <w:pStyle w:val="FSTableText"/>
            </w:pPr>
            <w:r>
              <w:t xml:space="preserve">There is some evidence of harm from enzymes that was presented to the Codex Committee on Food Additives (CCFA) in 2017 </w:t>
            </w:r>
            <w:r w:rsidRPr="001028F9">
              <w:t>(CX/FA 17/49/12)</w:t>
            </w:r>
            <w:r w:rsidRPr="001028F9">
              <w:rPr>
                <w:vertAlign w:val="superscript"/>
              </w:rPr>
              <w:footnoteReference w:id="4"/>
            </w:r>
            <w:r w:rsidRPr="001028F9">
              <w:t>.</w:t>
            </w:r>
          </w:p>
        </w:tc>
        <w:tc>
          <w:tcPr>
            <w:tcW w:w="1701" w:type="dxa"/>
            <w:tcBorders>
              <w:left w:val="none" w:sz="0" w:space="0" w:color="auto"/>
              <w:right w:val="none" w:sz="0" w:space="0" w:color="auto"/>
            </w:tcBorders>
          </w:tcPr>
          <w:p w14:paraId="17C631F4" w14:textId="26D028D8" w:rsidR="007A53BF" w:rsidRPr="000778D6" w:rsidRDefault="001028F9" w:rsidP="008C4E76">
            <w:pPr>
              <w:pStyle w:val="FSTableText"/>
              <w:cnfStyle w:val="000000010000" w:firstRow="0" w:lastRow="0" w:firstColumn="0" w:lastColumn="0" w:oddVBand="0" w:evenVBand="0" w:oddHBand="0" w:evenHBand="1" w:firstRowFirstColumn="0" w:firstRowLastColumn="0" w:lastRowFirstColumn="0" w:lastRowLastColumn="0"/>
            </w:pPr>
            <w:r>
              <w:t>Food Intolerance Network</w:t>
            </w:r>
          </w:p>
        </w:tc>
        <w:tc>
          <w:tcPr>
            <w:tcW w:w="9214" w:type="dxa"/>
            <w:tcBorders>
              <w:left w:val="none" w:sz="0" w:space="0" w:color="auto"/>
            </w:tcBorders>
          </w:tcPr>
          <w:p w14:paraId="00F54D52" w14:textId="77777777" w:rsidR="007A53BF" w:rsidRDefault="001028F9" w:rsidP="007B5AE5">
            <w:pPr>
              <w:pStyle w:val="FSTableText"/>
              <w:cnfStyle w:val="000000010000" w:firstRow="0" w:lastRow="0" w:firstColumn="0" w:lastColumn="0" w:oddVBand="0" w:evenVBand="0" w:oddHBand="0" w:evenHBand="1" w:firstRowFirstColumn="0" w:firstRowLastColumn="0" w:lastRowFirstColumn="0" w:lastRowLastColumn="0"/>
            </w:pPr>
            <w:r w:rsidRPr="001028F9">
              <w:t>The report of the 49</w:t>
            </w:r>
            <w:r w:rsidRPr="001028F9">
              <w:rPr>
                <w:vertAlign w:val="superscript"/>
              </w:rPr>
              <w:t>th</w:t>
            </w:r>
            <w:r w:rsidRPr="001028F9">
              <w:t xml:space="preserve"> Session of the CCFA (REP17/FA)</w:t>
            </w:r>
            <w:r w:rsidR="007B5AE5">
              <w:rPr>
                <w:rStyle w:val="FootnoteReference"/>
              </w:rPr>
              <w:footnoteReference w:id="5"/>
            </w:r>
            <w:r w:rsidRPr="001028F9">
              <w:t xml:space="preserve"> </w:t>
            </w:r>
            <w:r w:rsidR="007B5AE5">
              <w:t xml:space="preserve">(paragraph 112) </w:t>
            </w:r>
            <w:r w:rsidRPr="001028F9">
              <w:t xml:space="preserve">that considered the document, CX/FA 17/49/12, makes no reference to information regarding amylases (INS 1100 </w:t>
            </w:r>
            <w:proofErr w:type="spellStart"/>
            <w:r w:rsidRPr="001028F9">
              <w:t>i</w:t>
            </w:r>
            <w:proofErr w:type="spellEnd"/>
            <w:r w:rsidRPr="001028F9">
              <w:t xml:space="preserve">, ii, iii, iv, v, vi), proteases (INS 1101 </w:t>
            </w:r>
            <w:proofErr w:type="spellStart"/>
            <w:r w:rsidRPr="001028F9">
              <w:t>i</w:t>
            </w:r>
            <w:proofErr w:type="spellEnd"/>
            <w:r w:rsidRPr="001028F9">
              <w:t xml:space="preserve">, ii, iii, iv, v, vi), and lipases (INS 1104), other than to note that the proposed deletion of these substances from </w:t>
            </w:r>
            <w:r w:rsidRPr="001028F9">
              <w:rPr>
                <w:i/>
              </w:rPr>
              <w:t>Class Names and the International Numbering System (INS) for Food Additives (CAC/GL 36-1989)</w:t>
            </w:r>
            <w:r w:rsidRPr="001028F9">
              <w:t xml:space="preserve"> is outside the mandate of the working group established to consider such matters. </w:t>
            </w:r>
          </w:p>
          <w:p w14:paraId="29772E7D" w14:textId="16E52278" w:rsidR="00964A94" w:rsidRPr="000778D6" w:rsidRDefault="00964A94" w:rsidP="007B5AE5">
            <w:pPr>
              <w:pStyle w:val="FSTableText"/>
              <w:cnfStyle w:val="000000010000" w:firstRow="0" w:lastRow="0" w:firstColumn="0" w:lastColumn="0" w:oddVBand="0" w:evenVBand="0" w:oddHBand="0" w:evenHBand="1" w:firstRowFirstColumn="0" w:firstRowLastColumn="0" w:lastRowFirstColumn="0" w:lastRowLastColumn="0"/>
            </w:pPr>
          </w:p>
        </w:tc>
      </w:tr>
      <w:tr w:rsidR="007A53BF" w14:paraId="4E23601B" w14:textId="77777777" w:rsidTr="00F55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auto"/>
              <w:right w:val="none" w:sz="0" w:space="0" w:color="auto"/>
            </w:tcBorders>
          </w:tcPr>
          <w:p w14:paraId="03284893" w14:textId="5B6C4AFE" w:rsidR="007A53BF" w:rsidRPr="000778D6" w:rsidRDefault="009D5F06" w:rsidP="008C4E76">
            <w:pPr>
              <w:pStyle w:val="FSTableText"/>
            </w:pPr>
            <w:r w:rsidRPr="009D5F06">
              <w:t>There is recent scientific evidence of harm from genetically modified enzymes (</w:t>
            </w:r>
            <w:proofErr w:type="spellStart"/>
            <w:r w:rsidRPr="009D5F06">
              <w:t>Budnik</w:t>
            </w:r>
            <w:proofErr w:type="spellEnd"/>
            <w:r w:rsidRPr="009D5F06">
              <w:t xml:space="preserve"> et al. (2016))</w:t>
            </w:r>
            <w:r w:rsidRPr="009D5F06">
              <w:rPr>
                <w:vertAlign w:val="superscript"/>
              </w:rPr>
              <w:footnoteReference w:id="6"/>
            </w:r>
            <w:r w:rsidRPr="009D5F06">
              <w:t>.</w:t>
            </w:r>
          </w:p>
        </w:tc>
        <w:tc>
          <w:tcPr>
            <w:tcW w:w="1701" w:type="dxa"/>
            <w:tcBorders>
              <w:left w:val="none" w:sz="0" w:space="0" w:color="auto"/>
              <w:bottom w:val="single" w:sz="4" w:space="0" w:color="auto"/>
              <w:right w:val="none" w:sz="0" w:space="0" w:color="auto"/>
            </w:tcBorders>
          </w:tcPr>
          <w:p w14:paraId="3B74D0AC" w14:textId="617E15DD" w:rsidR="007A53BF" w:rsidRPr="000778D6" w:rsidRDefault="009D5F06" w:rsidP="008C4E76">
            <w:pPr>
              <w:pStyle w:val="FSTableText"/>
              <w:cnfStyle w:val="000000100000" w:firstRow="0" w:lastRow="0" w:firstColumn="0" w:lastColumn="0" w:oddVBand="0" w:evenVBand="0" w:oddHBand="1" w:evenHBand="0" w:firstRowFirstColumn="0" w:firstRowLastColumn="0" w:lastRowFirstColumn="0" w:lastRowLastColumn="0"/>
            </w:pPr>
            <w:r>
              <w:t>Food Intolerance Network</w:t>
            </w:r>
          </w:p>
        </w:tc>
        <w:tc>
          <w:tcPr>
            <w:tcW w:w="9214" w:type="dxa"/>
            <w:tcBorders>
              <w:left w:val="none" w:sz="0" w:space="0" w:color="auto"/>
              <w:bottom w:val="single" w:sz="4" w:space="0" w:color="auto"/>
            </w:tcBorders>
          </w:tcPr>
          <w:p w14:paraId="153F1AA9" w14:textId="77777777" w:rsidR="009D5F06" w:rsidRPr="009D5F06" w:rsidRDefault="009D5F06" w:rsidP="009D5F06">
            <w:pPr>
              <w:pStyle w:val="FSTableText"/>
              <w:cnfStyle w:val="000000100000" w:firstRow="0" w:lastRow="0" w:firstColumn="0" w:lastColumn="0" w:oddVBand="0" w:evenVBand="0" w:oddHBand="1" w:evenHBand="0" w:firstRowFirstColumn="0" w:firstRowLastColumn="0" w:lastRowFirstColumn="0" w:lastRowLastColumn="0"/>
            </w:pPr>
            <w:r w:rsidRPr="009D5F06">
              <w:t xml:space="preserve">FSANZ notes that the </w:t>
            </w:r>
            <w:proofErr w:type="spellStart"/>
            <w:r w:rsidRPr="009D5F06">
              <w:t>Budnik</w:t>
            </w:r>
            <w:proofErr w:type="spellEnd"/>
            <w:r w:rsidRPr="009D5F06">
              <w:t xml:space="preserve"> et al. paper investigates the sensitising effects of occupational exposure to enzymes used in flavour, detergent and pharmaceutical production. </w:t>
            </w:r>
          </w:p>
          <w:p w14:paraId="30EE9438" w14:textId="77777777" w:rsidR="009D5F06" w:rsidRPr="009D5F06" w:rsidRDefault="009D5F06" w:rsidP="009D5F06">
            <w:pPr>
              <w:pStyle w:val="FSTableText"/>
              <w:cnfStyle w:val="000000100000" w:firstRow="0" w:lastRow="0" w:firstColumn="0" w:lastColumn="0" w:oddVBand="0" w:evenVBand="0" w:oddHBand="1" w:evenHBand="0" w:firstRowFirstColumn="0" w:firstRowLastColumn="0" w:lastRowFirstColumn="0" w:lastRowLastColumn="0"/>
            </w:pPr>
          </w:p>
          <w:p w14:paraId="4BB9057B" w14:textId="1AED0059" w:rsidR="009D5F06" w:rsidRPr="009D5F06" w:rsidRDefault="009D5F06" w:rsidP="009D5F06">
            <w:pPr>
              <w:pStyle w:val="FSTableText"/>
              <w:cnfStyle w:val="000000100000" w:firstRow="0" w:lastRow="0" w:firstColumn="0" w:lastColumn="0" w:oddVBand="0" w:evenVBand="0" w:oddHBand="1" w:evenHBand="0" w:firstRowFirstColumn="0" w:firstRowLastColumn="0" w:lastRowFirstColumn="0" w:lastRowLastColumn="0"/>
            </w:pPr>
            <w:r w:rsidRPr="009D5F06">
              <w:t>Occupational exposure is very different to exposure via the diet, both in terms of the route of exposure (which would generally be via inhalation and dermal exposure), and the level to which individuals may be exposed. Exposure to enzymes could be potentially high in the case of occupational handling, where the physical form of the enzyme that the individuals may be exposed to may be a purified and concentrated dust or powder, at very high levels, and on a regular basis. This is very different to what consumers would be exposed to</w:t>
            </w:r>
            <w:r w:rsidR="003A6811">
              <w:t xml:space="preserve"> via the diet</w:t>
            </w:r>
            <w:r w:rsidRPr="009D5F06">
              <w:t xml:space="preserve">, which is likely to be very low concentrations of the enzyme through ingestion of a blended food ingredient. In addition, residual enzyme in the final food is likely to be inactive and susceptible to digestion, like other dietary proteins. Therefore, any findings of this study are not directly relevant to consumers who </w:t>
            </w:r>
            <w:r w:rsidR="005964B4">
              <w:t>might be</w:t>
            </w:r>
            <w:r w:rsidR="005964B4" w:rsidRPr="009D5F06">
              <w:t xml:space="preserve"> </w:t>
            </w:r>
            <w:r w:rsidRPr="009D5F06">
              <w:t xml:space="preserve">exposed to trace levels through food. </w:t>
            </w:r>
          </w:p>
          <w:p w14:paraId="1414110F" w14:textId="77777777" w:rsidR="009D5F06" w:rsidRPr="009D5F06" w:rsidRDefault="009D5F06" w:rsidP="009D5F06">
            <w:pPr>
              <w:pStyle w:val="FSTableText"/>
              <w:cnfStyle w:val="000000100000" w:firstRow="0" w:lastRow="0" w:firstColumn="0" w:lastColumn="0" w:oddVBand="0" w:evenVBand="0" w:oddHBand="1" w:evenHBand="0" w:firstRowFirstColumn="0" w:firstRowLastColumn="0" w:lastRowFirstColumn="0" w:lastRowLastColumn="0"/>
            </w:pPr>
          </w:p>
          <w:p w14:paraId="59F46203" w14:textId="77777777" w:rsidR="00964A94" w:rsidRDefault="009D5F06" w:rsidP="009D5F06">
            <w:pPr>
              <w:pStyle w:val="FSTableText"/>
              <w:cnfStyle w:val="000000100000" w:firstRow="0" w:lastRow="0" w:firstColumn="0" w:lastColumn="0" w:oddVBand="0" w:evenVBand="0" w:oddHBand="1" w:evenHBand="0" w:firstRowFirstColumn="0" w:firstRowLastColumn="0" w:lastRowFirstColumn="0" w:lastRowLastColumn="0"/>
            </w:pPr>
            <w:r w:rsidRPr="009D5F06">
              <w:t xml:space="preserve">The hazard assessment </w:t>
            </w:r>
            <w:r w:rsidR="003A6811">
              <w:t xml:space="preserve">conducted for this particular enzyme </w:t>
            </w:r>
            <w:r w:rsidRPr="009D5F06">
              <w:t xml:space="preserve">considered the potential </w:t>
            </w:r>
            <w:proofErr w:type="spellStart"/>
            <w:r w:rsidRPr="009D5F06">
              <w:t>allergenicity</w:t>
            </w:r>
            <w:proofErr w:type="spellEnd"/>
            <w:r w:rsidRPr="009D5F06">
              <w:t xml:space="preserve"> of the </w:t>
            </w:r>
            <w:r w:rsidR="003A6811">
              <w:t>triacylglycerol lipase</w:t>
            </w:r>
            <w:r w:rsidRPr="009D5F06">
              <w:t xml:space="preserve"> (in terms of ingestion) and concluded that there were no concerns (see </w:t>
            </w:r>
            <w:r w:rsidRPr="00F55E6C">
              <w:t>section 2.2</w:t>
            </w:r>
            <w:r w:rsidRPr="009D5F06">
              <w:t>). The enzyme is digested (i.e. broken down to constituent amino acids) in the gastro-intestinal tract and it has no homology to known allergens.</w:t>
            </w:r>
          </w:p>
          <w:p w14:paraId="6F0811C5" w14:textId="77777777" w:rsidR="00964A94" w:rsidRDefault="00964A94" w:rsidP="009D5F06">
            <w:pPr>
              <w:pStyle w:val="FSTableText"/>
              <w:cnfStyle w:val="000000100000" w:firstRow="0" w:lastRow="0" w:firstColumn="0" w:lastColumn="0" w:oddVBand="0" w:evenVBand="0" w:oddHBand="1" w:evenHBand="0" w:firstRowFirstColumn="0" w:firstRowLastColumn="0" w:lastRowFirstColumn="0" w:lastRowLastColumn="0"/>
            </w:pPr>
          </w:p>
          <w:p w14:paraId="60DF29F7" w14:textId="239E977F" w:rsidR="009D5F06" w:rsidRPr="009D5F06" w:rsidRDefault="00964A94" w:rsidP="009D5F06">
            <w:pPr>
              <w:pStyle w:val="FSTableText"/>
              <w:cnfStyle w:val="000000100000" w:firstRow="0" w:lastRow="0" w:firstColumn="0" w:lastColumn="0" w:oddVBand="0" w:evenVBand="0" w:oddHBand="1" w:evenHBand="0" w:firstRowFirstColumn="0" w:firstRowLastColumn="0" w:lastRowFirstColumn="0" w:lastRowLastColumn="0"/>
            </w:pPr>
            <w:r>
              <w:t>The source microorganism for the enzyme of this Application is not genetically modified.</w:t>
            </w:r>
          </w:p>
          <w:p w14:paraId="0B7622D8" w14:textId="77777777" w:rsidR="007A53BF" w:rsidRPr="000778D6" w:rsidRDefault="007A53BF" w:rsidP="008C4E76">
            <w:pPr>
              <w:pStyle w:val="FSTableText"/>
              <w:cnfStyle w:val="000000100000" w:firstRow="0" w:lastRow="0" w:firstColumn="0" w:lastColumn="0" w:oddVBand="0" w:evenVBand="0" w:oddHBand="1" w:evenHBand="0" w:firstRowFirstColumn="0" w:firstRowLastColumn="0" w:lastRowFirstColumn="0" w:lastRowLastColumn="0"/>
            </w:pPr>
          </w:p>
        </w:tc>
      </w:tr>
      <w:tr w:rsidR="003A6811" w14:paraId="57D61DE0" w14:textId="78C47B4F" w:rsidTr="00F55E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4" w:space="0" w:color="auto"/>
            </w:tcBorders>
          </w:tcPr>
          <w:p w14:paraId="4DF49656" w14:textId="6B49F5C6" w:rsidR="00207D96" w:rsidRPr="00207D96" w:rsidRDefault="00207D96" w:rsidP="00207D96">
            <w:pPr>
              <w:pStyle w:val="FSTableText"/>
              <w:rPr>
                <w:bCs w:val="0"/>
              </w:rPr>
            </w:pPr>
            <w:r w:rsidRPr="00207D96">
              <w:rPr>
                <w:bCs w:val="0"/>
              </w:rPr>
              <w:t xml:space="preserve">The submitter would resist any attempt to remove the following enzymes from the Code </w:t>
            </w:r>
            <w:r w:rsidR="00B44E81">
              <w:rPr>
                <w:bCs w:val="0"/>
              </w:rPr>
              <w:t xml:space="preserve">(in Schedule 8 – Food additive names and code numbers (for statement of ingredients)) </w:t>
            </w:r>
            <w:r w:rsidRPr="00207D96">
              <w:rPr>
                <w:bCs w:val="0"/>
              </w:rPr>
              <w:t xml:space="preserve">and hide them as processing aids:  </w:t>
            </w:r>
          </w:p>
          <w:p w14:paraId="3B383264" w14:textId="01CBDBFB" w:rsidR="00207D96" w:rsidRPr="00B44E81" w:rsidRDefault="00207D96" w:rsidP="00B44E81">
            <w:pPr>
              <w:pStyle w:val="FSBullet1"/>
              <w:ind w:left="284" w:hanging="284"/>
              <w:rPr>
                <w:sz w:val="20"/>
                <w:szCs w:val="20"/>
              </w:rPr>
            </w:pPr>
            <w:r w:rsidRPr="00B44E81">
              <w:rPr>
                <w:sz w:val="20"/>
                <w:szCs w:val="20"/>
              </w:rPr>
              <w:t xml:space="preserve">1100 </w:t>
            </w:r>
            <w:r w:rsidR="00B44E81" w:rsidRPr="00B44E81">
              <w:rPr>
                <w:sz w:val="20"/>
                <w:szCs w:val="20"/>
              </w:rPr>
              <w:t>α</w:t>
            </w:r>
            <w:r w:rsidRPr="00B44E81">
              <w:rPr>
                <w:sz w:val="20"/>
                <w:szCs w:val="20"/>
              </w:rPr>
              <w:t>-Amylase</w:t>
            </w:r>
          </w:p>
          <w:p w14:paraId="75F1F54D" w14:textId="3D97AFC0" w:rsidR="00207D96" w:rsidRPr="00B44E81" w:rsidRDefault="00207D96" w:rsidP="00B44E81">
            <w:pPr>
              <w:pStyle w:val="FSBullet1"/>
              <w:ind w:left="284" w:hanging="284"/>
              <w:rPr>
                <w:sz w:val="20"/>
                <w:szCs w:val="20"/>
              </w:rPr>
            </w:pPr>
            <w:r w:rsidRPr="00B44E81">
              <w:rPr>
                <w:sz w:val="20"/>
                <w:szCs w:val="20"/>
              </w:rPr>
              <w:t xml:space="preserve">1101 Proteases (papain, bromelain, </w:t>
            </w:r>
            <w:proofErr w:type="spellStart"/>
            <w:r w:rsidRPr="00B44E81">
              <w:rPr>
                <w:sz w:val="20"/>
                <w:szCs w:val="20"/>
              </w:rPr>
              <w:t>ficin</w:t>
            </w:r>
            <w:proofErr w:type="spellEnd"/>
            <w:r w:rsidRPr="00B44E81">
              <w:rPr>
                <w:sz w:val="20"/>
                <w:szCs w:val="20"/>
              </w:rPr>
              <w:t>)</w:t>
            </w:r>
          </w:p>
          <w:p w14:paraId="5E5C760B" w14:textId="77777777" w:rsidR="00207D96" w:rsidRPr="00B44E81" w:rsidRDefault="00207D96" w:rsidP="00B44E81">
            <w:pPr>
              <w:pStyle w:val="FSBullet1"/>
              <w:ind w:left="284" w:hanging="284"/>
              <w:rPr>
                <w:sz w:val="20"/>
                <w:szCs w:val="20"/>
              </w:rPr>
            </w:pPr>
            <w:r w:rsidRPr="00B44E81">
              <w:rPr>
                <w:sz w:val="20"/>
                <w:szCs w:val="20"/>
              </w:rPr>
              <w:t>1102 Glucose oxidase</w:t>
            </w:r>
          </w:p>
          <w:p w14:paraId="1C297391" w14:textId="77777777" w:rsidR="00207D96" w:rsidRPr="0069147D" w:rsidRDefault="00207D96" w:rsidP="00B44E81">
            <w:pPr>
              <w:pStyle w:val="FSBullet1"/>
              <w:ind w:left="284" w:hanging="284"/>
              <w:rPr>
                <w:szCs w:val="22"/>
              </w:rPr>
            </w:pPr>
            <w:r w:rsidRPr="0069147D">
              <w:rPr>
                <w:szCs w:val="22"/>
              </w:rPr>
              <w:t>1104 Lipases</w:t>
            </w:r>
          </w:p>
          <w:p w14:paraId="3C926915" w14:textId="7D4346E8" w:rsidR="003A6811" w:rsidRDefault="00207D96" w:rsidP="00B44E81">
            <w:pPr>
              <w:pStyle w:val="FSBullet1"/>
              <w:ind w:left="284" w:hanging="284"/>
            </w:pPr>
            <w:r w:rsidRPr="00B44E81">
              <w:rPr>
                <w:sz w:val="20"/>
                <w:szCs w:val="20"/>
              </w:rPr>
              <w:t>1105 Lysozyme.</w:t>
            </w:r>
          </w:p>
        </w:tc>
        <w:tc>
          <w:tcPr>
            <w:tcW w:w="1701" w:type="dxa"/>
            <w:tcBorders>
              <w:left w:val="single" w:sz="4" w:space="0" w:color="auto"/>
              <w:right w:val="single" w:sz="4" w:space="0" w:color="auto"/>
            </w:tcBorders>
          </w:tcPr>
          <w:p w14:paraId="24BB6F20" w14:textId="63F6C0F3" w:rsidR="003A6811" w:rsidRDefault="00207D96" w:rsidP="009D5F06">
            <w:pPr>
              <w:pStyle w:val="FSTableText"/>
              <w:cnfStyle w:val="000000010000" w:firstRow="0" w:lastRow="0" w:firstColumn="0" w:lastColumn="0" w:oddVBand="0" w:evenVBand="0" w:oddHBand="0" w:evenHBand="1" w:firstRowFirstColumn="0" w:firstRowLastColumn="0" w:lastRowFirstColumn="0" w:lastRowLastColumn="0"/>
            </w:pPr>
            <w:r w:rsidRPr="00207D96">
              <w:t>Food Intolerance Network</w:t>
            </w:r>
          </w:p>
        </w:tc>
        <w:tc>
          <w:tcPr>
            <w:tcW w:w="9214" w:type="dxa"/>
            <w:tcBorders>
              <w:left w:val="single" w:sz="4" w:space="0" w:color="auto"/>
            </w:tcBorders>
          </w:tcPr>
          <w:p w14:paraId="54C459A4" w14:textId="13AD049C" w:rsidR="0041307F" w:rsidRDefault="0041307F" w:rsidP="00207D96">
            <w:pPr>
              <w:pStyle w:val="FSTableText"/>
              <w:cnfStyle w:val="000000010000" w:firstRow="0" w:lastRow="0" w:firstColumn="0" w:lastColumn="0" w:oddVBand="0" w:evenVBand="0" w:oddHBand="0" w:evenHBand="1" w:firstRowFirstColumn="0" w:firstRowLastColumn="0" w:lastRowFirstColumn="0" w:lastRowLastColumn="0"/>
            </w:pPr>
            <w:r>
              <w:t>There is no intention to remove the enzymes in Schedule 8 as part of the assessment of this Application, noting they are listed there for labelling purposes and are not permissions to use. That is well outside the scope of the assessment.</w:t>
            </w:r>
          </w:p>
          <w:p w14:paraId="6FC55FEC" w14:textId="77777777" w:rsidR="0041307F" w:rsidRDefault="0041307F" w:rsidP="00207D96">
            <w:pPr>
              <w:pStyle w:val="FSTableText"/>
              <w:cnfStyle w:val="000000010000" w:firstRow="0" w:lastRow="0" w:firstColumn="0" w:lastColumn="0" w:oddVBand="0" w:evenVBand="0" w:oddHBand="0" w:evenHBand="1" w:firstRowFirstColumn="0" w:firstRowLastColumn="0" w:lastRowFirstColumn="0" w:lastRowLastColumn="0"/>
            </w:pPr>
          </w:p>
          <w:p w14:paraId="6C3C7F6A" w14:textId="528F0BCB" w:rsidR="00207D96" w:rsidRDefault="00207D96" w:rsidP="00207D96">
            <w:pPr>
              <w:pStyle w:val="FSTableText"/>
              <w:cnfStyle w:val="000000010000" w:firstRow="0" w:lastRow="0" w:firstColumn="0" w:lastColumn="0" w:oddVBand="0" w:evenVBand="0" w:oddHBand="0" w:evenHBand="1" w:firstRowFirstColumn="0" w:firstRowLastColumn="0" w:lastRowFirstColumn="0" w:lastRowLastColumn="0"/>
            </w:pPr>
            <w:r>
              <w:t>With the exception of lysozyme (which, in terms of its technological purpose, is classified as a preservative (food additive)), the enzymes mentioned are permitted for use as processing aids under Schedule 18.</w:t>
            </w:r>
          </w:p>
          <w:p w14:paraId="67F10256" w14:textId="77777777" w:rsidR="00207D96" w:rsidRDefault="00207D96" w:rsidP="00207D96">
            <w:pPr>
              <w:pStyle w:val="FSTableText"/>
              <w:cnfStyle w:val="000000010000" w:firstRow="0" w:lastRow="0" w:firstColumn="0" w:lastColumn="0" w:oddVBand="0" w:evenVBand="0" w:oddHBand="0" w:evenHBand="1" w:firstRowFirstColumn="0" w:firstRowLastColumn="0" w:lastRowFirstColumn="0" w:lastRowLastColumn="0"/>
            </w:pPr>
          </w:p>
          <w:p w14:paraId="6A332048" w14:textId="6E0DC18D" w:rsidR="003A6811" w:rsidRDefault="00207D96" w:rsidP="00B44E81">
            <w:pPr>
              <w:pStyle w:val="FSTableText"/>
              <w:cnfStyle w:val="000000010000" w:firstRow="0" w:lastRow="0" w:firstColumn="0" w:lastColumn="0" w:oddVBand="0" w:evenVBand="0" w:oddHBand="0" w:evenHBand="1" w:firstRowFirstColumn="0" w:firstRowLastColumn="0" w:lastRowFirstColumn="0" w:lastRowLastColumn="0"/>
            </w:pPr>
            <w:r>
              <w:t xml:space="preserve">Food additive permissions are provided in Schedules 15 and 16. Lysozyme is the only enzyme listed which is permitted as a GMP food additive in section S16—2 which, because of subsection 1.1.2—13(3), is also a processing aid. How the substance (enzyme) performs its technological purpose determines whether it is considered a food additive or processing aid. </w:t>
            </w:r>
            <w:r w:rsidR="00B44E81">
              <w:t>In summary, i</w:t>
            </w:r>
            <w:r>
              <w:t>f it performs its purpose during the manufacture or processing but not in the final food, then it is considered a processing aid</w:t>
            </w:r>
            <w:r w:rsidR="00B44E81">
              <w:t xml:space="preserve"> (see definition within section 1.1.2—13 as noted above in the first issue)</w:t>
            </w:r>
            <w:r w:rsidR="0041307F">
              <w:t xml:space="preserve"> and so does not need to be labelled</w:t>
            </w:r>
            <w:r w:rsidR="00B44E81">
              <w:t>.</w:t>
            </w:r>
            <w:r>
              <w:t xml:space="preserve"> If it performs its technological purpose in the final food (as does lysozyme, in its role as a preservative) then it is considered a food additive </w:t>
            </w:r>
            <w:r w:rsidR="00B44E81">
              <w:t>(see section 1.1.2—11</w:t>
            </w:r>
            <w:r w:rsidR="00C75DF6">
              <w:t>)</w:t>
            </w:r>
            <w:r w:rsidR="00B44E81">
              <w:t xml:space="preserve"> </w:t>
            </w:r>
            <w:r>
              <w:t>and so needs to be labelled as per the req</w:t>
            </w:r>
            <w:r w:rsidR="0041307F">
              <w:t xml:space="preserve">uirements in section 1.2.4—7. </w:t>
            </w:r>
          </w:p>
          <w:p w14:paraId="480881C6" w14:textId="77777777" w:rsidR="00F60355" w:rsidRDefault="00F60355" w:rsidP="00B44E81">
            <w:pPr>
              <w:pStyle w:val="FSTableText"/>
              <w:cnfStyle w:val="000000010000" w:firstRow="0" w:lastRow="0" w:firstColumn="0" w:lastColumn="0" w:oddVBand="0" w:evenVBand="0" w:oddHBand="0" w:evenHBand="1" w:firstRowFirstColumn="0" w:firstRowLastColumn="0" w:lastRowFirstColumn="0" w:lastRowLastColumn="0"/>
            </w:pPr>
          </w:p>
          <w:p w14:paraId="4E79FE50" w14:textId="77777777" w:rsidR="0041307F" w:rsidRDefault="0041307F" w:rsidP="0041307F">
            <w:pPr>
              <w:pStyle w:val="FSTableText"/>
              <w:cnfStyle w:val="000000010000" w:firstRow="0" w:lastRow="0" w:firstColumn="0" w:lastColumn="0" w:oddVBand="0" w:evenVBand="0" w:oddHBand="0" w:evenHBand="1" w:firstRowFirstColumn="0" w:firstRowLastColumn="0" w:lastRowFirstColumn="0" w:lastRowLastColumn="0"/>
            </w:pPr>
            <w:r>
              <w:t>As a final point, food manufacturers can add extra labelling information to that mandated by the Code; i.e. they can label for enzymes used as processing aids.</w:t>
            </w:r>
          </w:p>
          <w:p w14:paraId="45A2E7FB" w14:textId="0B0ABB61" w:rsidR="00964A94" w:rsidRDefault="00964A94" w:rsidP="0041307F">
            <w:pPr>
              <w:pStyle w:val="FSTableText"/>
              <w:cnfStyle w:val="000000010000" w:firstRow="0" w:lastRow="0" w:firstColumn="0" w:lastColumn="0" w:oddVBand="0" w:evenVBand="0" w:oddHBand="0" w:evenHBand="1" w:firstRowFirstColumn="0" w:firstRowLastColumn="0" w:lastRowFirstColumn="0" w:lastRowLastColumn="0"/>
            </w:pPr>
          </w:p>
        </w:tc>
      </w:tr>
      <w:tr w:rsidR="003A6811" w14:paraId="1E1EC6E8" w14:textId="77777777" w:rsidTr="00F55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single" w:sz="4" w:space="0" w:color="auto"/>
            </w:tcBorders>
          </w:tcPr>
          <w:p w14:paraId="4C5A0E67" w14:textId="79DA9F19" w:rsidR="00510271" w:rsidRDefault="00510271" w:rsidP="008C4E76">
            <w:pPr>
              <w:pStyle w:val="FSTableText"/>
            </w:pPr>
            <w:r>
              <w:t xml:space="preserve">Concern that some of the food category terms used in the draft variation referring to the use of the enzyme </w:t>
            </w:r>
            <w:proofErr w:type="gramStart"/>
            <w:r>
              <w:t>are</w:t>
            </w:r>
            <w:proofErr w:type="gramEnd"/>
            <w:r>
              <w:t xml:space="preserve"> not defined by the Code. </w:t>
            </w:r>
            <w:r w:rsidR="00F132C2">
              <w:t>T</w:t>
            </w:r>
            <w:r>
              <w:t xml:space="preserve">hese terms are “bakery products”, “dairy products” and “fats and oils”. </w:t>
            </w:r>
          </w:p>
          <w:p w14:paraId="2AC0E917" w14:textId="032D4848" w:rsidR="003A6811" w:rsidRDefault="00510271" w:rsidP="008C4E76">
            <w:pPr>
              <w:pStyle w:val="FSTableText"/>
            </w:pPr>
            <w:r>
              <w:t>The proliferation of food terms that are not defined in the Code (Standard 1.1.2)</w:t>
            </w:r>
            <w:r w:rsidR="00F132C2">
              <w:t xml:space="preserve"> makes interpretation and enforcement difficult. </w:t>
            </w:r>
          </w:p>
        </w:tc>
        <w:tc>
          <w:tcPr>
            <w:tcW w:w="1701" w:type="dxa"/>
            <w:tcBorders>
              <w:left w:val="single" w:sz="4" w:space="0" w:color="auto"/>
              <w:right w:val="single" w:sz="4" w:space="0" w:color="auto"/>
            </w:tcBorders>
          </w:tcPr>
          <w:p w14:paraId="45BADE2A" w14:textId="6F5A4740" w:rsidR="003A6811" w:rsidRDefault="00510271" w:rsidP="009D5F06">
            <w:pPr>
              <w:pStyle w:val="FSTableText"/>
              <w:cnfStyle w:val="000000100000" w:firstRow="0" w:lastRow="0" w:firstColumn="0" w:lastColumn="0" w:oddVBand="0" w:evenVBand="0" w:oddHBand="1" w:evenHBand="0" w:firstRowFirstColumn="0" w:firstRowLastColumn="0" w:lastRowFirstColumn="0" w:lastRowLastColumn="0"/>
            </w:pPr>
            <w:r>
              <w:t>South Australia Health</w:t>
            </w:r>
          </w:p>
        </w:tc>
        <w:tc>
          <w:tcPr>
            <w:tcW w:w="9214" w:type="dxa"/>
            <w:tcBorders>
              <w:left w:val="single" w:sz="4" w:space="0" w:color="auto"/>
            </w:tcBorders>
          </w:tcPr>
          <w:p w14:paraId="2CE9BDB0" w14:textId="6E8F9040" w:rsidR="003A6811" w:rsidRDefault="00B46B49" w:rsidP="009E516E">
            <w:pPr>
              <w:pStyle w:val="FSTableText"/>
              <w:cnfStyle w:val="000000100000" w:firstRow="0" w:lastRow="0" w:firstColumn="0" w:lastColumn="0" w:oddVBand="0" w:evenVBand="0" w:oddHBand="1" w:evenHBand="0" w:firstRowFirstColumn="0" w:firstRowLastColumn="0" w:lastRowFirstColumn="0" w:lastRowLastColumn="0"/>
            </w:pPr>
            <w:r w:rsidRPr="00B46B49">
              <w:t xml:space="preserve">This Application is not the vehicle to consider a change to the Code’s structure and use of definitions.  In terms of the draft variation in issue, FSANZ does </w:t>
            </w:r>
            <w:r w:rsidR="00650F82">
              <w:t xml:space="preserve">not </w:t>
            </w:r>
            <w:r w:rsidRPr="00B46B49">
              <w:t>see a need to provide a prescriptive, all-inclusive definition detailing what is and what is not an ‘oil’, ‘fat’, ‘a dairy product’ and a ‘bakery product’ for the purposes of this one processing aid pe</w:t>
            </w:r>
            <w:r>
              <w:t xml:space="preserve">rmission. </w:t>
            </w:r>
            <w:r w:rsidRPr="00B46B49">
              <w:t>These terms are already present and undefined in the Code (see, for example, Standard 2.2.1 and Schedules 10, 15, 17, and 22). Where definitions are provided (e.g., definition of ‘dairy products’), these definitions are only illustrative (</w:t>
            </w:r>
            <w:proofErr w:type="spellStart"/>
            <w:r w:rsidRPr="00B46B49">
              <w:t>ie</w:t>
            </w:r>
            <w:proofErr w:type="spellEnd"/>
            <w:r w:rsidRPr="00B46B49">
              <w:t>, ‘dairy products’ includes …) and are not prescriptive.  In the absence of a definition, these terms generally have their accepted and ordinary meaning. FSANZ is unaware of any evidence of a problem with this approach to date.  Nor has any other jurisdiction raised this as an issue.</w:t>
            </w:r>
            <w:r w:rsidR="00D57964">
              <w:t xml:space="preserve"> We will discuss this further with the submitter.</w:t>
            </w:r>
          </w:p>
        </w:tc>
      </w:tr>
    </w:tbl>
    <w:p w14:paraId="3E2AC905" w14:textId="77777777" w:rsidR="007A53BF" w:rsidRDefault="007A53BF" w:rsidP="007A53BF">
      <w:pPr>
        <w:rPr>
          <w:color w:val="00B050"/>
        </w:rPr>
      </w:pPr>
    </w:p>
    <w:p w14:paraId="3727A4B1" w14:textId="77777777" w:rsidR="0041307F" w:rsidRDefault="0041307F" w:rsidP="007A53BF">
      <w:pPr>
        <w:rPr>
          <w:color w:val="00B050"/>
        </w:rPr>
        <w:sectPr w:rsidR="0041307F" w:rsidSect="00F55E6C">
          <w:pgSz w:w="16838" w:h="11906" w:orient="landscape" w:code="9"/>
          <w:pgMar w:top="1418" w:right="1418" w:bottom="1418" w:left="1418" w:header="709" w:footer="709" w:gutter="0"/>
          <w:cols w:space="708"/>
          <w:docGrid w:linePitch="360"/>
        </w:sectPr>
      </w:pPr>
    </w:p>
    <w:p w14:paraId="508FE74A" w14:textId="77777777" w:rsidR="002C1A3B" w:rsidRPr="00932F14" w:rsidRDefault="002C1A3B" w:rsidP="002C1A3B">
      <w:pPr>
        <w:pStyle w:val="Heading2"/>
      </w:pPr>
      <w:bookmarkStart w:id="50" w:name="_Toc370223472"/>
      <w:bookmarkStart w:id="51" w:name="_Toc370225387"/>
      <w:bookmarkStart w:id="52" w:name="_Toc494789948"/>
      <w:bookmarkStart w:id="53" w:name="_Toc309291812"/>
      <w:bookmarkStart w:id="54" w:name="_Toc175381442"/>
      <w:bookmarkEnd w:id="44"/>
      <w:bookmarkEnd w:id="45"/>
      <w:bookmarkEnd w:id="46"/>
      <w:bookmarkEnd w:id="47"/>
      <w:bookmarkEnd w:id="48"/>
      <w:bookmarkEnd w:id="49"/>
      <w:r>
        <w:t>2.2</w:t>
      </w:r>
      <w:r>
        <w:tab/>
      </w:r>
      <w:r w:rsidRPr="00932F14">
        <w:t xml:space="preserve">Risk </w:t>
      </w:r>
      <w:r>
        <w:t>a</w:t>
      </w:r>
      <w:r w:rsidRPr="00932F14">
        <w:t>ssessment</w:t>
      </w:r>
      <w:bookmarkEnd w:id="50"/>
      <w:bookmarkEnd w:id="51"/>
      <w:bookmarkEnd w:id="52"/>
      <w:r w:rsidRPr="00932F14">
        <w:t xml:space="preserve"> </w:t>
      </w:r>
    </w:p>
    <w:p w14:paraId="4E3E06FE" w14:textId="77777777" w:rsidR="00844154" w:rsidRPr="00844154" w:rsidRDefault="00844154" w:rsidP="00844154">
      <w:pPr>
        <w:widowControl/>
        <w:rPr>
          <w:lang w:bidi="ar-SA"/>
        </w:rPr>
      </w:pPr>
      <w:bookmarkStart w:id="55" w:name="_Toc370223473"/>
      <w:bookmarkStart w:id="56" w:name="_Toc370225388"/>
      <w:bookmarkStart w:id="57" w:name="_Toc175381450"/>
      <w:bookmarkEnd w:id="53"/>
      <w:bookmarkEnd w:id="54"/>
      <w:r w:rsidRPr="00844154">
        <w:rPr>
          <w:lang w:bidi="ar-SA"/>
        </w:rPr>
        <w:t xml:space="preserve">FSANZ conducted a risk assessment on permitting a new enzyme, triacylglycerol lipase sourced from </w:t>
      </w:r>
      <w:r w:rsidRPr="00844154">
        <w:rPr>
          <w:i/>
          <w:lang w:bidi="ar-SA"/>
        </w:rPr>
        <w:t xml:space="preserve">C. </w:t>
      </w:r>
      <w:proofErr w:type="spellStart"/>
      <w:r w:rsidRPr="00844154">
        <w:rPr>
          <w:i/>
          <w:lang w:bidi="ar-SA"/>
        </w:rPr>
        <w:t>cylindracea</w:t>
      </w:r>
      <w:proofErr w:type="spellEnd"/>
      <w:r w:rsidRPr="00844154">
        <w:rPr>
          <w:lang w:bidi="ar-SA"/>
        </w:rPr>
        <w:t xml:space="preserve"> </w:t>
      </w:r>
      <w:r w:rsidRPr="00844154">
        <w:t>as a processing aid. This assessment is provided as SD1 and its conclusions are summarised below.</w:t>
      </w:r>
    </w:p>
    <w:p w14:paraId="3C9F2440" w14:textId="77777777" w:rsidR="00844154" w:rsidRPr="00844154" w:rsidRDefault="00844154" w:rsidP="00844154"/>
    <w:p w14:paraId="403E8D42" w14:textId="099DEB26" w:rsidR="00844154" w:rsidRPr="00844154" w:rsidRDefault="00844154" w:rsidP="00844154">
      <w:r w:rsidRPr="00844154">
        <w:t xml:space="preserve">The stated purpose of this enzyme preparation, namely, for use as a processing aid </w:t>
      </w:r>
      <w:r w:rsidR="00A42E1E">
        <w:t xml:space="preserve">in </w:t>
      </w:r>
      <w:r w:rsidRPr="00844154">
        <w:t>baking, milk and dairy processing, and fats and oil processing, is clearly articulated in the Application. The evidence presented to support the proposed uses provides adequate assurance that the enzyme, in the form and prescribed amounts, is technologically justified and has been demonstrated to be effective in achieving its stated purpose. That is, it performs its technological purpose during processing and manufacture of food and does not perform a technological purpose in the final food since it is inactivated. It is therefore appropriately categorised as a processing aid and not a food additive. The enzyme preparation meets international purity specifications.</w:t>
      </w:r>
    </w:p>
    <w:p w14:paraId="3ABDE6EE" w14:textId="77777777" w:rsidR="00844154" w:rsidRPr="00844154" w:rsidRDefault="00844154" w:rsidP="00844154">
      <w:pPr>
        <w:widowControl/>
        <w:rPr>
          <w:rFonts w:eastAsia="Calibri"/>
          <w:szCs w:val="22"/>
          <w:lang w:bidi="ar-SA"/>
        </w:rPr>
      </w:pPr>
    </w:p>
    <w:p w14:paraId="0172A69B" w14:textId="77777777" w:rsidR="007C3B98" w:rsidRPr="007C3B98" w:rsidRDefault="007C3B98" w:rsidP="007C3B98">
      <w:pPr>
        <w:widowControl/>
        <w:rPr>
          <w:lang w:eastAsia="en-AU" w:bidi="ar-SA"/>
        </w:rPr>
      </w:pPr>
      <w:r w:rsidRPr="007C3B98">
        <w:rPr>
          <w:lang w:eastAsia="en-AU" w:bidi="ar-SA"/>
        </w:rPr>
        <w:t xml:space="preserve">After undertaking a risk assessment, FSANZ concluded that there are no public health and safety issues associated with the use of the enzyme </w:t>
      </w:r>
      <w:r w:rsidRPr="007C3B98">
        <w:t xml:space="preserve">triacylglycerol lipase, sourced from </w:t>
      </w:r>
      <w:r w:rsidRPr="007C3B98">
        <w:rPr>
          <w:i/>
        </w:rPr>
        <w:t xml:space="preserve">Candida </w:t>
      </w:r>
      <w:proofErr w:type="spellStart"/>
      <w:r w:rsidRPr="007C3B98">
        <w:rPr>
          <w:i/>
        </w:rPr>
        <w:t>cylindracea</w:t>
      </w:r>
      <w:proofErr w:type="spellEnd"/>
      <w:r w:rsidRPr="007C3B98">
        <w:t>, as a processing aid</w:t>
      </w:r>
      <w:r w:rsidRPr="007C3B98">
        <w:rPr>
          <w:lang w:eastAsia="en-AU" w:bidi="ar-SA"/>
        </w:rPr>
        <w:t xml:space="preserve"> intended for use in baking, milk and dairy processing, and fats and oil processing.</w:t>
      </w:r>
    </w:p>
    <w:p w14:paraId="42684B43" w14:textId="77777777" w:rsidR="00844154" w:rsidRPr="00844154" w:rsidRDefault="00844154" w:rsidP="00844154">
      <w:pPr>
        <w:widowControl/>
        <w:rPr>
          <w:rFonts w:eastAsia="Calibri"/>
          <w:szCs w:val="22"/>
          <w:lang w:bidi="ar-SA"/>
        </w:rPr>
      </w:pPr>
    </w:p>
    <w:p w14:paraId="361C1398" w14:textId="77777777" w:rsidR="00844154" w:rsidRPr="00844154" w:rsidRDefault="00844154" w:rsidP="00844154">
      <w:pPr>
        <w:widowControl/>
        <w:rPr>
          <w:rFonts w:eastAsia="Calibri"/>
          <w:szCs w:val="22"/>
          <w:lang w:bidi="ar-SA"/>
        </w:rPr>
      </w:pPr>
      <w:r w:rsidRPr="00844154">
        <w:rPr>
          <w:lang w:bidi="ar-SA"/>
        </w:rPr>
        <w:t xml:space="preserve">Based on the reviewed toxicological data, it is concluded that in the absence of any identifiable hazard, an Acceptable Daily Intake (ADI) ‘not specified’ is appropriate for triacylglycerol lipase from </w:t>
      </w:r>
      <w:r w:rsidRPr="00844154">
        <w:rPr>
          <w:i/>
          <w:lang w:bidi="ar-SA"/>
        </w:rPr>
        <w:t xml:space="preserve">C. </w:t>
      </w:r>
      <w:proofErr w:type="spellStart"/>
      <w:r w:rsidRPr="00844154">
        <w:rPr>
          <w:i/>
          <w:lang w:bidi="ar-SA"/>
        </w:rPr>
        <w:t>cylindracea</w:t>
      </w:r>
      <w:proofErr w:type="spellEnd"/>
      <w:r w:rsidRPr="00844154">
        <w:rPr>
          <w:lang w:bidi="ar-SA"/>
        </w:rPr>
        <w:t>. A dietary exposure assessment was therefore not required.</w:t>
      </w:r>
    </w:p>
    <w:p w14:paraId="58CB50D3" w14:textId="77777777" w:rsidR="002C1A3B" w:rsidRPr="00932F14" w:rsidRDefault="002C1A3B" w:rsidP="002C1A3B">
      <w:pPr>
        <w:pStyle w:val="Heading2"/>
      </w:pPr>
      <w:bookmarkStart w:id="58" w:name="_Toc494789949"/>
      <w:r>
        <w:t>2.3</w:t>
      </w:r>
      <w:r>
        <w:tab/>
        <w:t>Risk management</w:t>
      </w:r>
      <w:bookmarkEnd w:id="55"/>
      <w:bookmarkEnd w:id="56"/>
      <w:bookmarkEnd w:id="58"/>
    </w:p>
    <w:p w14:paraId="277985A5" w14:textId="0743245F" w:rsidR="00844154" w:rsidRPr="00844154" w:rsidRDefault="00844154" w:rsidP="00844154">
      <w:r w:rsidRPr="00844154">
        <w:t xml:space="preserve">The risk assessment conclusions provide evidence that there are no safety risks from the use of this enzyme as a food processing aid. As processing aids require permissions in the Code, the main risk management option available to FSANZ is to approve or reject the request to amend the Code, and impose any conditions that may be appropriate. Other risk management options available for this Application are related to </w:t>
      </w:r>
      <w:r w:rsidR="00D156BE" w:rsidRPr="00844154">
        <w:t xml:space="preserve">enzyme nomenclature </w:t>
      </w:r>
      <w:r w:rsidR="00D156BE">
        <w:t xml:space="preserve">and </w:t>
      </w:r>
      <w:r w:rsidRPr="00844154">
        <w:t>labelling</w:t>
      </w:r>
      <w:r w:rsidR="00D156BE">
        <w:t>,</w:t>
      </w:r>
      <w:r w:rsidRPr="00844154">
        <w:t xml:space="preserve"> which are discussed in sections 2.</w:t>
      </w:r>
      <w:r w:rsidR="00D156BE">
        <w:t>3</w:t>
      </w:r>
      <w:r w:rsidRPr="00844154">
        <w:t>.</w:t>
      </w:r>
      <w:r w:rsidR="00D156BE">
        <w:t>2</w:t>
      </w:r>
      <w:r w:rsidRPr="00844154">
        <w:t xml:space="preserve"> and 2.</w:t>
      </w:r>
      <w:r w:rsidR="00D156BE">
        <w:t>3</w:t>
      </w:r>
      <w:r w:rsidRPr="00844154">
        <w:t>.</w:t>
      </w:r>
      <w:r w:rsidR="00D156BE">
        <w:t>3</w:t>
      </w:r>
      <w:r w:rsidRPr="00844154">
        <w:t xml:space="preserve"> respectively. The regulatory options analysed in </w:t>
      </w:r>
      <w:r w:rsidRPr="00D156BE">
        <w:t xml:space="preserve">section </w:t>
      </w:r>
      <w:r w:rsidR="00D156BE" w:rsidRPr="00D156BE">
        <w:t>5</w:t>
      </w:r>
      <w:r w:rsidRPr="00D156BE">
        <w:t>.1.1</w:t>
      </w:r>
      <w:r w:rsidRPr="00844154">
        <w:t xml:space="preserve"> take account of the safety of the enzyme preparation.</w:t>
      </w:r>
    </w:p>
    <w:p w14:paraId="7C08E1A1" w14:textId="35C8B761" w:rsidR="00844154" w:rsidRPr="00844154" w:rsidRDefault="00844154" w:rsidP="00D156BE">
      <w:pPr>
        <w:pStyle w:val="Heading3"/>
      </w:pPr>
      <w:bookmarkStart w:id="59" w:name="_Toc485991553"/>
      <w:bookmarkStart w:id="60" w:name="_Toc494789950"/>
      <w:r w:rsidRPr="00844154">
        <w:t>2.</w:t>
      </w:r>
      <w:r>
        <w:t>3</w:t>
      </w:r>
      <w:r w:rsidRPr="00844154">
        <w:t>.1</w:t>
      </w:r>
      <w:r w:rsidRPr="00844154">
        <w:tab/>
        <w:t>Regulatory approval for enzymes</w:t>
      </w:r>
      <w:bookmarkEnd w:id="59"/>
      <w:bookmarkEnd w:id="60"/>
    </w:p>
    <w:p w14:paraId="7BC4E3C2" w14:textId="298CD997" w:rsidR="00844154" w:rsidRPr="00844154" w:rsidRDefault="00844154" w:rsidP="00844154">
      <w:r w:rsidRPr="00844154">
        <w:t>The food technology aspect of the risk assessment has concluded that the enzyme meets its stated purpose, as a processing aid for use in baking, milk and dairy processing, and fats and oil processing</w:t>
      </w:r>
      <w:r w:rsidR="00D156BE">
        <w:t>, and not as a food additive</w:t>
      </w:r>
      <w:r w:rsidRPr="00844154">
        <w:t xml:space="preserve">. The safety assessment has further concluded that in the absence of any identifiable hazard that an ADI of ‘not specified’ is appropriate for the enzyme. </w:t>
      </w:r>
    </w:p>
    <w:p w14:paraId="4B62767F" w14:textId="77777777" w:rsidR="00844154" w:rsidRPr="00844154" w:rsidRDefault="00844154" w:rsidP="00844154"/>
    <w:p w14:paraId="1B68CB11" w14:textId="0A52B898" w:rsidR="00844154" w:rsidRPr="00844154" w:rsidRDefault="00844154" w:rsidP="00844154">
      <w:r w:rsidRPr="00844154">
        <w:t xml:space="preserve">Therefore, it is proposed to permit the use of the enzyme as a processing aid for its stated use in baking, milk and dairy processing, and fats and oil processing. </w:t>
      </w:r>
    </w:p>
    <w:p w14:paraId="1E43185B" w14:textId="73D83FEE" w:rsidR="00844154" w:rsidRPr="00844154" w:rsidRDefault="00844154" w:rsidP="00D156BE">
      <w:pPr>
        <w:pStyle w:val="Heading3"/>
      </w:pPr>
      <w:bookmarkStart w:id="61" w:name="_Toc485991554"/>
      <w:bookmarkStart w:id="62" w:name="_Toc494789951"/>
      <w:r w:rsidRPr="00844154">
        <w:t>2.</w:t>
      </w:r>
      <w:r>
        <w:t>3</w:t>
      </w:r>
      <w:r w:rsidRPr="00844154">
        <w:t>.2</w:t>
      </w:r>
      <w:r w:rsidRPr="00844154">
        <w:tab/>
        <w:t>Enzyme nomenclature</w:t>
      </w:r>
      <w:bookmarkEnd w:id="61"/>
      <w:bookmarkEnd w:id="62"/>
    </w:p>
    <w:p w14:paraId="0F0A11FC" w14:textId="77777777" w:rsidR="00844154" w:rsidRPr="00844154" w:rsidRDefault="00844154" w:rsidP="00844154">
      <w:pPr>
        <w:rPr>
          <w:rFonts w:cs="Arial"/>
        </w:rPr>
      </w:pPr>
      <w:r w:rsidRPr="00844154">
        <w:rPr>
          <w:lang w:bidi="ar-SA"/>
        </w:rPr>
        <w:t xml:space="preserve">FSANZ notes that the International Union of Biochemistry and Molecular Biology (IUBMB), the internationally recognised authority for enzyme nomenclature, uses the name “triacylglycerol lipase” for enzymes with an EC number of </w:t>
      </w:r>
      <w:r w:rsidRPr="00844154">
        <w:rPr>
          <w:lang w:val="en-AU" w:eastAsia="en-AU"/>
        </w:rPr>
        <w:t>3.1.1.3 (IUBMB 2017)</w:t>
      </w:r>
      <w:r w:rsidRPr="00844154">
        <w:rPr>
          <w:lang w:bidi="ar-SA"/>
        </w:rPr>
        <w:t>. This is the name used in the Application and in this report but the name listed in Schedule 18 is, and will remain, as Lipase, triacylglycerol as it is similar to the IUBMB name, is understood by relevant stakeholders as the name in the Code and is used for a number of other source organisms.</w:t>
      </w:r>
    </w:p>
    <w:p w14:paraId="1060A97F" w14:textId="77777777" w:rsidR="00844154" w:rsidRPr="00844154" w:rsidRDefault="00844154" w:rsidP="00844154">
      <w:pPr>
        <w:rPr>
          <w:lang w:eastAsia="en-AU" w:bidi="ar-SA"/>
        </w:rPr>
      </w:pPr>
    </w:p>
    <w:p w14:paraId="67532269" w14:textId="77777777" w:rsidR="00844154" w:rsidRPr="00844154" w:rsidRDefault="00844154" w:rsidP="00844154">
      <w:pPr>
        <w:rPr>
          <w:lang w:eastAsia="en-AU" w:bidi="ar-SA"/>
        </w:rPr>
      </w:pPr>
      <w:r w:rsidRPr="00844154">
        <w:rPr>
          <w:lang w:eastAsia="en-AU" w:bidi="ar-SA"/>
        </w:rPr>
        <w:t xml:space="preserve">The source microorganism is stated in the Application as </w:t>
      </w:r>
      <w:r w:rsidRPr="00844154">
        <w:rPr>
          <w:i/>
          <w:lang w:eastAsia="en-AU" w:bidi="ar-SA"/>
        </w:rPr>
        <w:t xml:space="preserve">C. </w:t>
      </w:r>
      <w:proofErr w:type="spellStart"/>
      <w:r w:rsidRPr="00844154">
        <w:rPr>
          <w:i/>
          <w:lang w:eastAsia="en-AU" w:bidi="ar-SA"/>
        </w:rPr>
        <w:t>cylindracea</w:t>
      </w:r>
      <w:proofErr w:type="spellEnd"/>
      <w:r w:rsidRPr="00844154">
        <w:rPr>
          <w:lang w:eastAsia="en-AU" w:bidi="ar-SA"/>
        </w:rPr>
        <w:t xml:space="preserve">. </w:t>
      </w:r>
    </w:p>
    <w:p w14:paraId="7B5BF59A" w14:textId="519BC1A9" w:rsidR="00844154" w:rsidRPr="00844154" w:rsidRDefault="00844154" w:rsidP="00D156BE">
      <w:pPr>
        <w:pStyle w:val="Heading3"/>
      </w:pPr>
      <w:bookmarkStart w:id="63" w:name="_Toc485991555"/>
      <w:bookmarkStart w:id="64" w:name="_Toc494789952"/>
      <w:r w:rsidRPr="00844154">
        <w:t>2.</w:t>
      </w:r>
      <w:r>
        <w:t>3</w:t>
      </w:r>
      <w:r w:rsidRPr="00844154">
        <w:t>.3</w:t>
      </w:r>
      <w:r w:rsidRPr="00844154">
        <w:tab/>
        <w:t>Labelling considerations</w:t>
      </w:r>
      <w:bookmarkEnd w:id="63"/>
      <w:bookmarkEnd w:id="64"/>
    </w:p>
    <w:p w14:paraId="11E9FE86" w14:textId="77777777" w:rsidR="00844154" w:rsidRPr="00844154" w:rsidRDefault="00844154" w:rsidP="00844154">
      <w:r w:rsidRPr="00844154">
        <w:rPr>
          <w:lang w:bidi="ar-SA"/>
        </w:rPr>
        <w:t xml:space="preserve">As a general rule, processing aids (which include a number of permitted enzymes of microbial origin as listed in </w:t>
      </w:r>
      <w:r w:rsidRPr="00844154">
        <w:t>the table to subsection S18—4(5))</w:t>
      </w:r>
      <w:r w:rsidRPr="00844154">
        <w:rPr>
          <w:lang w:bidi="ar-SA"/>
        </w:rPr>
        <w:t xml:space="preserve"> are exempt from the requirement to be declared in the statement of ingredients in accordance with paragraphs 1.2.4—3(2</w:t>
      </w:r>
      <w:proofErr w:type="gramStart"/>
      <w:r w:rsidRPr="00844154">
        <w:rPr>
          <w:lang w:bidi="ar-SA"/>
        </w:rPr>
        <w:t>)(</w:t>
      </w:r>
      <w:proofErr w:type="gramEnd"/>
      <w:r w:rsidRPr="00844154">
        <w:rPr>
          <w:lang w:bidi="ar-SA"/>
        </w:rPr>
        <w:t xml:space="preserve">d) and (e) in Standard 1.2.4 – Information requirements – statement of ingredients. </w:t>
      </w:r>
    </w:p>
    <w:p w14:paraId="58D60B9B" w14:textId="77777777" w:rsidR="00844154" w:rsidRPr="00844154" w:rsidRDefault="00844154" w:rsidP="00844154"/>
    <w:p w14:paraId="26882A9A" w14:textId="77777777" w:rsidR="00844154" w:rsidRPr="00844154" w:rsidRDefault="00844154" w:rsidP="00844154">
      <w:r w:rsidRPr="00844154">
        <w:t xml:space="preserve">The risk assessment concluded that the use of the enzyme preparation poses no risk to public health and safety and it performs its technological purpose as a processing aid. Therefore, the generic exemption from declaration of processing aids in the statement of ingredients will apply to foods produced using this enzyme as a processing aid and no additional labelling requirements are proposed. </w:t>
      </w:r>
    </w:p>
    <w:p w14:paraId="50D721FF" w14:textId="314D1E46" w:rsidR="00844154" w:rsidRPr="00844154" w:rsidRDefault="00844154" w:rsidP="00D156BE">
      <w:pPr>
        <w:pStyle w:val="Heading3"/>
      </w:pPr>
      <w:bookmarkStart w:id="65" w:name="_Toc485991556"/>
      <w:bookmarkStart w:id="66" w:name="_Toc494789953"/>
      <w:r w:rsidRPr="00844154">
        <w:t>2.</w:t>
      </w:r>
      <w:r>
        <w:t>3</w:t>
      </w:r>
      <w:r w:rsidRPr="00844154">
        <w:t>.4</w:t>
      </w:r>
      <w:r w:rsidRPr="00844154">
        <w:tab/>
        <w:t>Risk management conclusion</w:t>
      </w:r>
      <w:bookmarkEnd w:id="65"/>
      <w:bookmarkEnd w:id="66"/>
    </w:p>
    <w:p w14:paraId="68401B7C" w14:textId="77777777" w:rsidR="00844154" w:rsidRPr="00844154" w:rsidRDefault="00844154" w:rsidP="00844154">
      <w:pPr>
        <w:rPr>
          <w:lang w:eastAsia="en-AU" w:bidi="ar-SA"/>
        </w:rPr>
      </w:pPr>
      <w:r w:rsidRPr="00844154">
        <w:t xml:space="preserve">The risk management conclusion is to add the permission for lipase, triacylglycerol (EC 3.1.1.3) sourced from </w:t>
      </w:r>
      <w:r w:rsidRPr="00844154">
        <w:rPr>
          <w:i/>
        </w:rPr>
        <w:t xml:space="preserve">C. </w:t>
      </w:r>
      <w:proofErr w:type="spellStart"/>
      <w:r w:rsidRPr="00844154">
        <w:rPr>
          <w:i/>
        </w:rPr>
        <w:t>cylindracea</w:t>
      </w:r>
      <w:proofErr w:type="spellEnd"/>
      <w:r w:rsidRPr="00844154">
        <w:t xml:space="preserve"> into the table to S18—9(3). The technological purpose is for use in the manufacture of bakery products and dairy products, and in the processing of fats and oils. The maximum permitted level is GMP.  </w:t>
      </w:r>
    </w:p>
    <w:p w14:paraId="7A106359" w14:textId="6ED943C5" w:rsidR="00B64703" w:rsidRDefault="00B64703" w:rsidP="00B64703">
      <w:pPr>
        <w:pStyle w:val="Heading1"/>
      </w:pPr>
      <w:bookmarkStart w:id="67" w:name="_Toc494789954"/>
      <w:r>
        <w:t>3</w:t>
      </w:r>
      <w:r>
        <w:tab/>
      </w:r>
      <w:r w:rsidRPr="00932F14">
        <w:t>Decision</w:t>
      </w:r>
      <w:bookmarkEnd w:id="67"/>
    </w:p>
    <w:p w14:paraId="61C05853" w14:textId="1B6F5DE8" w:rsidR="00B64703" w:rsidRDefault="00B64703" w:rsidP="00B64703">
      <w:r w:rsidRPr="00DF4533">
        <w:t xml:space="preserve">The draft variation </w:t>
      </w:r>
      <w:r>
        <w:t xml:space="preserve">as proposed following assessment was approved </w:t>
      </w:r>
      <w:r w:rsidRPr="008D123B">
        <w:t xml:space="preserve">without change. </w:t>
      </w:r>
      <w:r w:rsidRPr="00DF4533">
        <w:t xml:space="preserve">The variation takes </w:t>
      </w:r>
      <w:r w:rsidRPr="00D26814">
        <w:t>effect on</w:t>
      </w:r>
      <w:r>
        <w:t xml:space="preserve"> </w:t>
      </w:r>
      <w:r w:rsidR="000F7568">
        <w:t>gazettal</w:t>
      </w:r>
      <w:r>
        <w:t xml:space="preserve">. The approved </w:t>
      </w:r>
      <w:r w:rsidRPr="00DF4533">
        <w:t>draft variation</w:t>
      </w:r>
      <w:r w:rsidR="00F55E6C">
        <w:t xml:space="preserve"> </w:t>
      </w:r>
      <w:r>
        <w:t xml:space="preserve">is at </w:t>
      </w:r>
      <w:r w:rsidRPr="007C22CB">
        <w:t xml:space="preserve">Attachment A. </w:t>
      </w:r>
    </w:p>
    <w:p w14:paraId="2B093FE5" w14:textId="77777777" w:rsidR="00B64703" w:rsidRDefault="00B64703" w:rsidP="00B64703"/>
    <w:p w14:paraId="1CE50292" w14:textId="77777777" w:rsidR="00B64703" w:rsidRDefault="00B64703" w:rsidP="00B64703">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187AFC69" w14:textId="32F2A511" w:rsidR="002C1A3B" w:rsidRPr="008C301D" w:rsidRDefault="00B64703" w:rsidP="00B64703">
      <w:pPr>
        <w:pStyle w:val="Heading1"/>
      </w:pPr>
      <w:bookmarkStart w:id="68" w:name="_Toc309291814"/>
      <w:bookmarkStart w:id="69" w:name="_Toc370225389"/>
      <w:bookmarkStart w:id="70" w:name="_Toc494789955"/>
      <w:bookmarkStart w:id="71" w:name="_Toc286391012"/>
      <w:bookmarkEnd w:id="57"/>
      <w:r>
        <w:t>4</w:t>
      </w:r>
      <w:r w:rsidR="002C1A3B" w:rsidRPr="008C301D">
        <w:tab/>
        <w:t>Risk communication</w:t>
      </w:r>
      <w:bookmarkEnd w:id="68"/>
      <w:bookmarkEnd w:id="69"/>
      <w:bookmarkEnd w:id="70"/>
      <w:r w:rsidR="002C1A3B" w:rsidRPr="008C301D">
        <w:t xml:space="preserve"> </w:t>
      </w:r>
    </w:p>
    <w:p w14:paraId="41320390" w14:textId="21A44446" w:rsidR="002C1A3B" w:rsidRPr="00A670A7" w:rsidRDefault="002C1A3B" w:rsidP="00B64703">
      <w:pPr>
        <w:pStyle w:val="Heading2"/>
      </w:pPr>
      <w:bookmarkStart w:id="72" w:name="_Toc300933437"/>
      <w:bookmarkStart w:id="73" w:name="_Toc370223475"/>
      <w:bookmarkStart w:id="74" w:name="_Toc370225390"/>
      <w:bookmarkStart w:id="75" w:name="_Toc494789956"/>
      <w:r w:rsidRPr="00A670A7">
        <w:t>4.1</w:t>
      </w:r>
      <w:r w:rsidRPr="00A670A7">
        <w:tab/>
        <w:t>Consultation</w:t>
      </w:r>
      <w:bookmarkEnd w:id="72"/>
      <w:bookmarkEnd w:id="73"/>
      <w:bookmarkEnd w:id="74"/>
      <w:bookmarkEnd w:id="75"/>
    </w:p>
    <w:p w14:paraId="05617E3D" w14:textId="7B7ECB72" w:rsidR="00844154" w:rsidRPr="00844154" w:rsidRDefault="00844154" w:rsidP="00844154">
      <w:pPr>
        <w:rPr>
          <w:szCs w:val="22"/>
        </w:rPr>
      </w:pPr>
      <w:r w:rsidRPr="00844154">
        <w:rPr>
          <w:szCs w:val="22"/>
        </w:rPr>
        <w:t xml:space="preserve">Consultation is a key part of FSANZ’s standards development process. </w:t>
      </w:r>
      <w:r w:rsidRPr="002C1A3B">
        <w:rPr>
          <w:szCs w:val="22"/>
        </w:rPr>
        <w:t>FSANZ acknowledges the time taken by individuals and organisations to make submissions on this</w:t>
      </w:r>
      <w:r w:rsidRPr="00A670A7">
        <w:rPr>
          <w:color w:val="00B050"/>
          <w:szCs w:val="22"/>
        </w:rPr>
        <w:t xml:space="preserve"> </w:t>
      </w:r>
      <w:r w:rsidRPr="00844154">
        <w:rPr>
          <w:szCs w:val="22"/>
        </w:rPr>
        <w:t>Application. Every submission was considered by the FSANZ Board. All comments are valued and contribute to the rigour of our assessment.</w:t>
      </w:r>
    </w:p>
    <w:p w14:paraId="11C6741F" w14:textId="77777777" w:rsidR="00844154" w:rsidRDefault="00844154" w:rsidP="00844154">
      <w:pPr>
        <w:rPr>
          <w:szCs w:val="22"/>
        </w:rPr>
      </w:pPr>
    </w:p>
    <w:p w14:paraId="5D21E5E1" w14:textId="4DE55989" w:rsidR="00844154" w:rsidRPr="00844154" w:rsidRDefault="00844154" w:rsidP="00844154">
      <w:r w:rsidRPr="00844154">
        <w:t xml:space="preserve">FSANZ developed and applied a basic communication strategy to this Application. </w:t>
      </w:r>
      <w:r>
        <w:t>The</w:t>
      </w:r>
      <w:r w:rsidRPr="00844154">
        <w:t xml:space="preserve"> call for submissions </w:t>
      </w:r>
      <w:r>
        <w:t>was</w:t>
      </w:r>
      <w:r w:rsidRPr="00844154">
        <w:t xml:space="preserve"> notified via the Food Standards Notification Circular, media release, FSANZ’s social media tools and Food Standards News.</w:t>
      </w:r>
    </w:p>
    <w:p w14:paraId="787CD0F6" w14:textId="77777777" w:rsidR="00844154" w:rsidRPr="00844154" w:rsidRDefault="00844154" w:rsidP="00844154"/>
    <w:p w14:paraId="6769609B" w14:textId="72A8A945" w:rsidR="00844154" w:rsidRPr="00844154" w:rsidRDefault="00844154" w:rsidP="00844154">
      <w:r w:rsidRPr="00844154">
        <w:t xml:space="preserve">The process by which FSANZ considers standard development matters is open, accountable, consultative and transparent. </w:t>
      </w:r>
    </w:p>
    <w:p w14:paraId="50AC0215" w14:textId="77777777" w:rsidR="00844154" w:rsidRPr="00844154" w:rsidRDefault="00844154" w:rsidP="00844154"/>
    <w:p w14:paraId="0A585B26" w14:textId="7DBE2AC8" w:rsidR="002C1A3B" w:rsidRPr="002C1A3B" w:rsidRDefault="00844154" w:rsidP="002C1A3B">
      <w:pPr>
        <w:rPr>
          <w:szCs w:val="22"/>
        </w:rPr>
      </w:pPr>
      <w:r>
        <w:t>The Applicant</w:t>
      </w:r>
      <w:r w:rsidR="00F32568">
        <w:t>, individuals</w:t>
      </w:r>
      <w:r>
        <w:t xml:space="preserve"> and organisations</w:t>
      </w:r>
      <w:r w:rsidR="00F32568">
        <w:t xml:space="preserve"> that made submissions on this Application will be notified at each stage of the assessment.</w:t>
      </w:r>
    </w:p>
    <w:p w14:paraId="4EEDA090" w14:textId="7836D775" w:rsidR="002C1A3B" w:rsidRPr="002C1A3B" w:rsidRDefault="002A39E5" w:rsidP="002A39E5">
      <w:pPr>
        <w:pStyle w:val="Heading1"/>
      </w:pPr>
      <w:bookmarkStart w:id="76" w:name="_Toc370223477"/>
      <w:bookmarkStart w:id="77" w:name="_Toc370225392"/>
      <w:bookmarkStart w:id="78" w:name="_Toc494789957"/>
      <w:bookmarkStart w:id="79" w:name="_Toc309291816"/>
      <w:bookmarkStart w:id="80" w:name="_Toc300933448"/>
      <w:bookmarkStart w:id="81" w:name="_Toc300933577"/>
      <w:bookmarkStart w:id="82" w:name="_Toc301535601"/>
      <w:bookmarkStart w:id="83" w:name="_Toc309385464"/>
      <w:bookmarkStart w:id="84" w:name="_Toc175381456"/>
      <w:bookmarkEnd w:id="34"/>
      <w:bookmarkEnd w:id="35"/>
      <w:bookmarkEnd w:id="36"/>
      <w:bookmarkEnd w:id="37"/>
      <w:bookmarkEnd w:id="38"/>
      <w:bookmarkEnd w:id="39"/>
      <w:bookmarkEnd w:id="71"/>
      <w:r>
        <w:t>5</w:t>
      </w:r>
      <w:r w:rsidR="002C1A3B" w:rsidRPr="002C1A3B">
        <w:tab/>
        <w:t>FSANZ Act assessment requirements</w:t>
      </w:r>
      <w:bookmarkEnd w:id="76"/>
      <w:bookmarkEnd w:id="77"/>
      <w:bookmarkEnd w:id="78"/>
    </w:p>
    <w:p w14:paraId="0D358C82" w14:textId="4EE9D7C8" w:rsidR="002C1A3B" w:rsidRPr="002A39E5" w:rsidRDefault="002C1A3B" w:rsidP="002A39E5">
      <w:pPr>
        <w:pStyle w:val="Heading2"/>
      </w:pPr>
      <w:bookmarkStart w:id="85" w:name="_Toc370223478"/>
      <w:bookmarkStart w:id="86" w:name="_Toc370225393"/>
      <w:bookmarkStart w:id="87" w:name="_Toc494789958"/>
      <w:bookmarkEnd w:id="79"/>
      <w:bookmarkEnd w:id="80"/>
      <w:bookmarkEnd w:id="81"/>
      <w:bookmarkEnd w:id="82"/>
      <w:bookmarkEnd w:id="83"/>
      <w:r w:rsidRPr="002A39E5">
        <w:t>5.1</w:t>
      </w:r>
      <w:r w:rsidRPr="002A39E5">
        <w:tab/>
        <w:t>Section 29</w:t>
      </w:r>
      <w:bookmarkEnd w:id="85"/>
      <w:bookmarkEnd w:id="86"/>
      <w:bookmarkEnd w:id="87"/>
    </w:p>
    <w:p w14:paraId="5A5C02AF" w14:textId="2086EEA4" w:rsidR="002C1A3B" w:rsidRPr="002C1A3B" w:rsidRDefault="002C1A3B" w:rsidP="002A39E5">
      <w:pPr>
        <w:pStyle w:val="Heading3"/>
      </w:pPr>
      <w:bookmarkStart w:id="88" w:name="_Toc494789959"/>
      <w:r w:rsidRPr="002C1A3B">
        <w:t>5.1.1</w:t>
      </w:r>
      <w:r w:rsidRPr="002C1A3B">
        <w:tab/>
      </w:r>
      <w:r w:rsidR="00BF45A3">
        <w:t>Consideration of costs and</w:t>
      </w:r>
      <w:r w:rsidRPr="002C1A3B">
        <w:t xml:space="preserve"> benefit</w:t>
      </w:r>
      <w:r w:rsidR="00BF45A3">
        <w:t>s</w:t>
      </w:r>
      <w:bookmarkEnd w:id="88"/>
    </w:p>
    <w:p w14:paraId="04F9E141" w14:textId="77777777" w:rsidR="0038464F" w:rsidRPr="00231528" w:rsidRDefault="0038464F" w:rsidP="0038464F">
      <w:pPr>
        <w:rPr>
          <w:rFonts w:cs="Arial"/>
        </w:rPr>
      </w:pPr>
      <w:r w:rsidRPr="00231528">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w:t>
      </w:r>
      <w:r>
        <w:rPr>
          <w:rFonts w:cs="Arial"/>
        </w:rPr>
        <w:t>we</w:t>
      </w:r>
      <w:r w:rsidRPr="00231528">
        <w:rPr>
          <w:rFonts w:cs="Arial"/>
        </w:rPr>
        <w:t xml:space="preserve">re analysed using regulatory impact principles. </w:t>
      </w:r>
      <w:r w:rsidRPr="00231528">
        <w:t xml:space="preserve">The level of analysis </w:t>
      </w:r>
      <w:r>
        <w:t>wa</w:t>
      </w:r>
      <w:r w:rsidRPr="00231528">
        <w:t>s commensurate with the nature of the Application and significance of the impacts.</w:t>
      </w:r>
    </w:p>
    <w:p w14:paraId="01431B5C" w14:textId="77777777" w:rsidR="0038464F" w:rsidRPr="00231528" w:rsidRDefault="0038464F" w:rsidP="0038464F">
      <w:pPr>
        <w:rPr>
          <w:rFonts w:cs="Arial"/>
          <w:color w:val="000000" w:themeColor="text1"/>
        </w:rPr>
      </w:pPr>
    </w:p>
    <w:p w14:paraId="067D5A5D" w14:textId="77777777" w:rsidR="0038464F" w:rsidRPr="00231528" w:rsidRDefault="0038464F" w:rsidP="0038464F">
      <w:pPr>
        <w:rPr>
          <w:rFonts w:cs="Arial"/>
          <w:color w:val="000000" w:themeColor="text1"/>
        </w:rPr>
      </w:pPr>
      <w:r w:rsidRPr="00231528">
        <w:rPr>
          <w:rFonts w:cs="Arial"/>
          <w:color w:val="000000" w:themeColor="text1"/>
        </w:rPr>
        <w:t xml:space="preserve">Two regulatory options were considered: </w:t>
      </w:r>
    </w:p>
    <w:p w14:paraId="12004F45" w14:textId="77777777" w:rsidR="0038464F" w:rsidRPr="00231528" w:rsidRDefault="0038464F" w:rsidP="0038464F">
      <w:pPr>
        <w:rPr>
          <w:rFonts w:cs="Arial"/>
          <w:color w:val="000000" w:themeColor="text1"/>
        </w:rPr>
      </w:pPr>
    </w:p>
    <w:p w14:paraId="30EDD2DC" w14:textId="77777777" w:rsidR="0038464F" w:rsidRPr="00231528" w:rsidRDefault="0038464F" w:rsidP="0038464F">
      <w:pPr>
        <w:ind w:left="567" w:hanging="567"/>
        <w:rPr>
          <w:rFonts w:cs="Arial"/>
          <w:color w:val="000000" w:themeColor="text1"/>
        </w:rPr>
      </w:pPr>
      <w:r w:rsidRPr="00231528">
        <w:rPr>
          <w:rFonts w:cs="Arial"/>
          <w:color w:val="000000" w:themeColor="text1"/>
        </w:rPr>
        <w:t xml:space="preserve">(1) </w:t>
      </w:r>
      <w:r w:rsidRPr="00231528">
        <w:rPr>
          <w:rFonts w:cs="Arial"/>
          <w:color w:val="000000" w:themeColor="text1"/>
        </w:rPr>
        <w:tab/>
      </w:r>
      <w:proofErr w:type="gramStart"/>
      <w:r w:rsidRPr="00231528">
        <w:rPr>
          <w:rFonts w:cs="Arial"/>
          <w:color w:val="000000" w:themeColor="text1"/>
        </w:rPr>
        <w:t>prepare</w:t>
      </w:r>
      <w:proofErr w:type="gramEnd"/>
      <w:r w:rsidRPr="00231528">
        <w:rPr>
          <w:rFonts w:cs="Arial"/>
          <w:color w:val="000000" w:themeColor="text1"/>
        </w:rPr>
        <w:t xml:space="preserve"> a draft variation to Schedule 18 to permit the use of the enzyme, </w:t>
      </w:r>
      <w:r>
        <w:rPr>
          <w:rFonts w:cs="Arial"/>
          <w:color w:val="000000" w:themeColor="text1"/>
        </w:rPr>
        <w:t>triacylglycerol lipase</w:t>
      </w:r>
      <w:r w:rsidRPr="00231528">
        <w:rPr>
          <w:rFonts w:cs="Arial"/>
          <w:color w:val="000000" w:themeColor="text1"/>
        </w:rPr>
        <w:t xml:space="preserve"> (EC number 3.</w:t>
      </w:r>
      <w:r>
        <w:rPr>
          <w:rFonts w:cs="Arial"/>
          <w:color w:val="000000" w:themeColor="text1"/>
        </w:rPr>
        <w:t>1.1.3</w:t>
      </w:r>
      <w:r w:rsidRPr="00231528">
        <w:rPr>
          <w:rFonts w:cs="Arial"/>
          <w:color w:val="000000" w:themeColor="text1"/>
        </w:rPr>
        <w:t xml:space="preserve">) sourced from </w:t>
      </w:r>
      <w:r>
        <w:rPr>
          <w:rFonts w:cs="Arial"/>
          <w:i/>
          <w:color w:val="000000" w:themeColor="text1"/>
        </w:rPr>
        <w:t xml:space="preserve">C. </w:t>
      </w:r>
      <w:proofErr w:type="spellStart"/>
      <w:r>
        <w:rPr>
          <w:rFonts w:cs="Arial"/>
          <w:i/>
          <w:color w:val="000000" w:themeColor="text1"/>
        </w:rPr>
        <w:t>cylindracea</w:t>
      </w:r>
      <w:proofErr w:type="spellEnd"/>
      <w:r>
        <w:rPr>
          <w:rFonts w:cs="Arial"/>
          <w:i/>
          <w:color w:val="000000" w:themeColor="text1"/>
        </w:rPr>
        <w:t>,</w:t>
      </w:r>
      <w:r w:rsidRPr="00231528">
        <w:rPr>
          <w:rFonts w:cs="Arial"/>
          <w:i/>
          <w:color w:val="000000" w:themeColor="text1"/>
        </w:rPr>
        <w:t xml:space="preserve"> </w:t>
      </w:r>
      <w:r w:rsidRPr="00231528">
        <w:rPr>
          <w:rFonts w:cs="Arial"/>
          <w:color w:val="000000" w:themeColor="text1"/>
        </w:rPr>
        <w:t>as a processing aid</w:t>
      </w:r>
      <w:r w:rsidRPr="00E10B23">
        <w:t xml:space="preserve"> </w:t>
      </w:r>
      <w:r>
        <w:t>for use in the manufacture of bakery products and dairy products and in</w:t>
      </w:r>
      <w:r w:rsidRPr="002B7F25">
        <w:t xml:space="preserve"> </w:t>
      </w:r>
      <w:r>
        <w:t xml:space="preserve">the </w:t>
      </w:r>
      <w:r w:rsidRPr="002B7F25">
        <w:t xml:space="preserve">processing </w:t>
      </w:r>
      <w:r>
        <w:t>of fats and oils</w:t>
      </w:r>
      <w:r>
        <w:rPr>
          <w:rFonts w:cs="Arial"/>
          <w:color w:val="000000" w:themeColor="text1"/>
        </w:rPr>
        <w:t xml:space="preserve"> </w:t>
      </w:r>
    </w:p>
    <w:p w14:paraId="2EBF1A60" w14:textId="77777777" w:rsidR="0038464F" w:rsidRPr="00231528" w:rsidRDefault="0038464F" w:rsidP="0038464F">
      <w:pPr>
        <w:ind w:left="567" w:hanging="567"/>
        <w:rPr>
          <w:rFonts w:cs="Arial"/>
          <w:color w:val="000000" w:themeColor="text1"/>
        </w:rPr>
      </w:pPr>
    </w:p>
    <w:p w14:paraId="7463ABE7" w14:textId="6BAED1D1" w:rsidR="0038464F" w:rsidRDefault="0038464F" w:rsidP="0038464F">
      <w:pPr>
        <w:ind w:left="567" w:hanging="567"/>
        <w:rPr>
          <w:rFonts w:cs="Arial"/>
          <w:color w:val="000000" w:themeColor="text1"/>
        </w:rPr>
      </w:pPr>
      <w:r w:rsidRPr="00231528">
        <w:rPr>
          <w:rFonts w:cs="Arial"/>
          <w:color w:val="000000" w:themeColor="text1"/>
        </w:rPr>
        <w:t xml:space="preserve">(2) </w:t>
      </w:r>
      <w:r w:rsidRPr="00231528">
        <w:rPr>
          <w:rFonts w:cs="Arial"/>
          <w:color w:val="000000" w:themeColor="text1"/>
        </w:rPr>
        <w:tab/>
      </w:r>
      <w:proofErr w:type="gramStart"/>
      <w:r w:rsidRPr="00231528">
        <w:rPr>
          <w:rFonts w:cs="Arial"/>
          <w:color w:val="000000" w:themeColor="text1"/>
        </w:rPr>
        <w:t>reject</w:t>
      </w:r>
      <w:proofErr w:type="gramEnd"/>
      <w:r w:rsidRPr="00231528">
        <w:rPr>
          <w:rFonts w:cs="Arial"/>
          <w:color w:val="000000" w:themeColor="text1"/>
        </w:rPr>
        <w:t xml:space="preserve"> the Application.</w:t>
      </w:r>
    </w:p>
    <w:p w14:paraId="55C46DA2" w14:textId="77777777" w:rsidR="0038464F" w:rsidRPr="00231528" w:rsidRDefault="0038464F" w:rsidP="0038464F">
      <w:pPr>
        <w:ind w:left="567" w:hanging="567"/>
        <w:rPr>
          <w:rFonts w:cs="Arial"/>
          <w:color w:val="000000" w:themeColor="text1"/>
        </w:rPr>
      </w:pPr>
    </w:p>
    <w:p w14:paraId="759BEB0B" w14:textId="77777777" w:rsidR="002A39E5" w:rsidRDefault="002A39E5" w:rsidP="002A39E5">
      <w:pPr>
        <w:rPr>
          <w:bCs/>
        </w:rPr>
      </w:pPr>
      <w:r w:rsidRPr="002A39E5">
        <w:rPr>
          <w:bCs/>
        </w:rPr>
        <w:t xml:space="preserve">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w:t>
      </w:r>
    </w:p>
    <w:p w14:paraId="654B8364" w14:textId="77777777" w:rsidR="002A39E5" w:rsidRDefault="002A39E5" w:rsidP="002A39E5">
      <w:pPr>
        <w:rPr>
          <w:bCs/>
        </w:rPr>
      </w:pPr>
    </w:p>
    <w:p w14:paraId="145E18BD" w14:textId="77F61A9E" w:rsidR="002A39E5" w:rsidRDefault="002A39E5" w:rsidP="002A39E5">
      <w:pPr>
        <w:rPr>
          <w:bCs/>
        </w:rPr>
      </w:pPr>
      <w:r w:rsidRPr="002A39E5">
        <w:rPr>
          <w:bCs/>
        </w:rPr>
        <w:t xml:space="preserve">However, FSANZ </w:t>
      </w:r>
      <w:r>
        <w:rPr>
          <w:bCs/>
        </w:rPr>
        <w:t xml:space="preserve">did </w:t>
      </w:r>
      <w:r w:rsidRPr="002A39E5">
        <w:rPr>
          <w:bCs/>
        </w:rPr>
        <w:t>undert</w:t>
      </w:r>
      <w:r>
        <w:rPr>
          <w:bCs/>
        </w:rPr>
        <w:t>ake</w:t>
      </w:r>
      <w:r w:rsidRPr="002A39E5">
        <w:rPr>
          <w:bCs/>
        </w:rPr>
        <w:t xml:space="preserve"> a limited </w:t>
      </w:r>
      <w:r>
        <w:rPr>
          <w:bCs/>
        </w:rPr>
        <w:t>consideration of the costs and benefits that would arise from permitting this Application</w:t>
      </w:r>
      <w:r w:rsidRPr="002A39E5">
        <w:rPr>
          <w:bCs/>
        </w:rPr>
        <w:t>.</w:t>
      </w:r>
    </w:p>
    <w:p w14:paraId="2F089984" w14:textId="77777777" w:rsidR="0038464F" w:rsidRPr="002A39E5" w:rsidRDefault="0038464F" w:rsidP="002A39E5">
      <w:pPr>
        <w:rPr>
          <w:bCs/>
        </w:rPr>
      </w:pPr>
    </w:p>
    <w:p w14:paraId="155AC8F3" w14:textId="77777777" w:rsidR="0038464F" w:rsidRPr="00231528" w:rsidRDefault="0038464F" w:rsidP="0038464F">
      <w:pPr>
        <w:rPr>
          <w:szCs w:val="22"/>
        </w:rPr>
      </w:pPr>
      <w:r w:rsidRPr="00231528">
        <w:t xml:space="preserve">A consideration of the costs and benefits of the regulatory options </w:t>
      </w:r>
      <w:r w:rsidRPr="00231528">
        <w:rPr>
          <w:szCs w:val="22"/>
        </w:rPr>
        <w:t>was not intended to be an exhaustive, quantitative economic analysis of the options and, in fact, most of the effects that were considered cannot be assigned a dollar value.</w:t>
      </w:r>
    </w:p>
    <w:p w14:paraId="56DBD9C2" w14:textId="77777777" w:rsidR="0038464F" w:rsidRPr="00231528" w:rsidRDefault="0038464F" w:rsidP="0038464F">
      <w:pPr>
        <w:rPr>
          <w:szCs w:val="22"/>
        </w:rPr>
      </w:pPr>
    </w:p>
    <w:p w14:paraId="4B3DCC41" w14:textId="77777777" w:rsidR="0038464F" w:rsidRPr="00231528" w:rsidRDefault="0038464F" w:rsidP="0038464F">
      <w:pPr>
        <w:rPr>
          <w:szCs w:val="22"/>
        </w:rPr>
      </w:pPr>
      <w:r w:rsidRPr="00231528">
        <w:rPr>
          <w:szCs w:val="22"/>
        </w:rPr>
        <w:t>Rather, the assessment sought to highlight the qualitative effects of criteria that were relevant to each option. These criteria are deliberately limited to those involving broad areas such as trade, consumer information and compliance.</w:t>
      </w:r>
    </w:p>
    <w:p w14:paraId="1CD1BF38" w14:textId="77777777" w:rsidR="0038464F" w:rsidRPr="00231528" w:rsidRDefault="0038464F" w:rsidP="0038464F">
      <w:pPr>
        <w:keepNext/>
        <w:keepLines/>
        <w:spacing w:before="240" w:after="240"/>
        <w:ind w:left="851" w:hanging="851"/>
        <w:outlineLvl w:val="3"/>
        <w:rPr>
          <w:b/>
          <w:bCs/>
          <w:iCs/>
          <w:szCs w:val="22"/>
          <w:lang w:bidi="ar-SA"/>
        </w:rPr>
      </w:pPr>
      <w:r w:rsidRPr="00231528">
        <w:rPr>
          <w:b/>
          <w:bCs/>
          <w:iCs/>
          <w:szCs w:val="22"/>
          <w:lang w:bidi="ar-SA"/>
        </w:rPr>
        <w:t xml:space="preserve">Option 1 – Prepare a draft variation to Schedule 18 </w:t>
      </w:r>
    </w:p>
    <w:tbl>
      <w:tblPr>
        <w:tblStyle w:val="TableGrid1"/>
        <w:tblW w:w="0" w:type="auto"/>
        <w:tblLook w:val="04A0" w:firstRow="1" w:lastRow="0" w:firstColumn="1" w:lastColumn="0" w:noHBand="0" w:noVBand="1"/>
      </w:tblPr>
      <w:tblGrid>
        <w:gridCol w:w="1537"/>
        <w:gridCol w:w="7749"/>
      </w:tblGrid>
      <w:tr w:rsidR="0038464F" w:rsidRPr="00231528" w14:paraId="18E18CB4" w14:textId="77777777" w:rsidTr="0038464F">
        <w:trPr>
          <w:tblHeader/>
        </w:trPr>
        <w:tc>
          <w:tcPr>
            <w:tcW w:w="0" w:type="auto"/>
            <w:shd w:val="clear" w:color="auto" w:fill="C2D69B" w:themeFill="accent3" w:themeFillTint="99"/>
          </w:tcPr>
          <w:p w14:paraId="35A18682" w14:textId="77777777" w:rsidR="0038464F" w:rsidRPr="00231528" w:rsidRDefault="0038464F" w:rsidP="0038464F">
            <w:pPr>
              <w:keepNext/>
              <w:keepLines/>
              <w:spacing w:before="120" w:after="120"/>
              <w:rPr>
                <w:rFonts w:cs="Arial"/>
                <w:b/>
                <w:szCs w:val="20"/>
              </w:rPr>
            </w:pPr>
            <w:r w:rsidRPr="00231528">
              <w:rPr>
                <w:rFonts w:cs="Arial"/>
                <w:b/>
                <w:szCs w:val="20"/>
              </w:rPr>
              <w:t>Sector</w:t>
            </w:r>
          </w:p>
        </w:tc>
        <w:tc>
          <w:tcPr>
            <w:tcW w:w="0" w:type="auto"/>
            <w:shd w:val="clear" w:color="auto" w:fill="C2D69B" w:themeFill="accent3" w:themeFillTint="99"/>
          </w:tcPr>
          <w:p w14:paraId="10B207CA" w14:textId="77777777" w:rsidR="0038464F" w:rsidRPr="00231528" w:rsidRDefault="0038464F" w:rsidP="0038464F">
            <w:pPr>
              <w:keepNext/>
              <w:keepLines/>
              <w:spacing w:before="120" w:after="120"/>
              <w:rPr>
                <w:rFonts w:cs="Arial"/>
                <w:b/>
                <w:szCs w:val="20"/>
              </w:rPr>
            </w:pPr>
            <w:r w:rsidRPr="00231528">
              <w:rPr>
                <w:rFonts w:cs="Arial"/>
                <w:b/>
                <w:szCs w:val="20"/>
              </w:rPr>
              <w:t>Costs or benefits to sector</w:t>
            </w:r>
          </w:p>
        </w:tc>
      </w:tr>
      <w:tr w:rsidR="0038464F" w:rsidRPr="00231528" w14:paraId="0519A6D4" w14:textId="77777777" w:rsidTr="0038464F">
        <w:tc>
          <w:tcPr>
            <w:tcW w:w="0" w:type="auto"/>
          </w:tcPr>
          <w:p w14:paraId="1FDF9156" w14:textId="77777777" w:rsidR="0038464F" w:rsidRPr="00231528" w:rsidRDefault="0038464F" w:rsidP="0038464F">
            <w:pPr>
              <w:spacing w:before="120" w:after="120"/>
              <w:rPr>
                <w:rFonts w:cs="Arial"/>
                <w:szCs w:val="20"/>
              </w:rPr>
            </w:pPr>
            <w:r w:rsidRPr="00231528">
              <w:rPr>
                <w:rFonts w:cs="Arial"/>
                <w:szCs w:val="20"/>
              </w:rPr>
              <w:t>Consumers</w:t>
            </w:r>
          </w:p>
        </w:tc>
        <w:tc>
          <w:tcPr>
            <w:tcW w:w="0" w:type="auto"/>
          </w:tcPr>
          <w:p w14:paraId="5ED74FB4" w14:textId="77777777" w:rsidR="0038464F" w:rsidRPr="00231528" w:rsidRDefault="0038464F" w:rsidP="0038464F">
            <w:pPr>
              <w:keepNext/>
              <w:keepLines/>
              <w:spacing w:before="120" w:after="120"/>
              <w:rPr>
                <w:rFonts w:cs="Arial"/>
                <w:szCs w:val="20"/>
              </w:rPr>
            </w:pPr>
            <w:r w:rsidRPr="00231528">
              <w:rPr>
                <w:rFonts w:cs="Arial"/>
                <w:szCs w:val="20"/>
              </w:rPr>
              <w:t xml:space="preserve">There are no costs or benefits to consumers associated with this option. </w:t>
            </w:r>
          </w:p>
        </w:tc>
      </w:tr>
      <w:tr w:rsidR="0038464F" w:rsidRPr="00231528" w14:paraId="61D83AF4" w14:textId="77777777" w:rsidTr="0038464F">
        <w:trPr>
          <w:trHeight w:val="886"/>
        </w:trPr>
        <w:tc>
          <w:tcPr>
            <w:tcW w:w="0" w:type="auto"/>
            <w:tcBorders>
              <w:bottom w:val="single" w:sz="4" w:space="0" w:color="000000"/>
            </w:tcBorders>
          </w:tcPr>
          <w:p w14:paraId="4421BED9" w14:textId="77777777" w:rsidR="0038464F" w:rsidRPr="00231528" w:rsidRDefault="0038464F" w:rsidP="0038464F">
            <w:pPr>
              <w:spacing w:before="120" w:after="120"/>
              <w:rPr>
                <w:rFonts w:cs="Arial"/>
                <w:szCs w:val="20"/>
              </w:rPr>
            </w:pPr>
            <w:r w:rsidRPr="00231528">
              <w:rPr>
                <w:rFonts w:cs="Arial"/>
                <w:szCs w:val="20"/>
              </w:rPr>
              <w:t>Industry</w:t>
            </w:r>
          </w:p>
        </w:tc>
        <w:tc>
          <w:tcPr>
            <w:tcW w:w="0" w:type="auto"/>
            <w:tcBorders>
              <w:bottom w:val="single" w:sz="4" w:space="0" w:color="000000"/>
            </w:tcBorders>
          </w:tcPr>
          <w:p w14:paraId="5DA36EA3" w14:textId="489C8A64" w:rsidR="0038464F" w:rsidRPr="00231528" w:rsidRDefault="0038464F" w:rsidP="002374DE">
            <w:pPr>
              <w:keepNext/>
              <w:keepLines/>
              <w:spacing w:before="120" w:after="120"/>
              <w:rPr>
                <w:rFonts w:cs="Arial"/>
                <w:szCs w:val="20"/>
              </w:rPr>
            </w:pPr>
            <w:r w:rsidRPr="00CB7790">
              <w:rPr>
                <w:rFonts w:cs="Arial"/>
                <w:szCs w:val="20"/>
              </w:rPr>
              <w:t xml:space="preserve">There are already a number of permitted triacylglycerol lipase enzyme preparations obtained from different source microorganisms in the Code. This will be </w:t>
            </w:r>
            <w:r>
              <w:rPr>
                <w:rFonts w:cs="Arial"/>
                <w:szCs w:val="20"/>
              </w:rPr>
              <w:t>an alternative source of the enzyme</w:t>
            </w:r>
            <w:r w:rsidRPr="00CB7790">
              <w:rPr>
                <w:rFonts w:cs="Arial"/>
                <w:szCs w:val="20"/>
              </w:rPr>
              <w:t xml:space="preserve">, obtained from a non-genetically modified organism. Which enzyme preparation food </w:t>
            </w:r>
            <w:proofErr w:type="gramStart"/>
            <w:r w:rsidRPr="00CB7790">
              <w:rPr>
                <w:rFonts w:cs="Arial"/>
                <w:szCs w:val="20"/>
              </w:rPr>
              <w:t>manufacturers</w:t>
            </w:r>
            <w:proofErr w:type="gramEnd"/>
            <w:r w:rsidRPr="00CB7790">
              <w:rPr>
                <w:rFonts w:cs="Arial"/>
                <w:szCs w:val="20"/>
              </w:rPr>
              <w:t xml:space="preserve"> use will be dependent on a range of factors, including economic and performance for the proposed use. </w:t>
            </w:r>
          </w:p>
        </w:tc>
      </w:tr>
      <w:tr w:rsidR="0038464F" w:rsidRPr="00231528" w14:paraId="4D4A9732" w14:textId="77777777" w:rsidTr="0038464F">
        <w:tc>
          <w:tcPr>
            <w:tcW w:w="0" w:type="auto"/>
          </w:tcPr>
          <w:p w14:paraId="3F5A9761" w14:textId="77777777" w:rsidR="0038464F" w:rsidRPr="00231528" w:rsidRDefault="0038464F" w:rsidP="0038464F">
            <w:pPr>
              <w:spacing w:before="120" w:after="120"/>
              <w:rPr>
                <w:rFonts w:cs="Arial"/>
                <w:szCs w:val="20"/>
              </w:rPr>
            </w:pPr>
            <w:r w:rsidRPr="00231528">
              <w:rPr>
                <w:rFonts w:cs="Arial"/>
                <w:szCs w:val="20"/>
              </w:rPr>
              <w:t>Governments</w:t>
            </w:r>
          </w:p>
        </w:tc>
        <w:tc>
          <w:tcPr>
            <w:tcW w:w="0" w:type="auto"/>
          </w:tcPr>
          <w:p w14:paraId="116E3DEE" w14:textId="77777777" w:rsidR="0038464F" w:rsidRPr="00231528" w:rsidRDefault="0038464F" w:rsidP="0038464F">
            <w:pPr>
              <w:keepNext/>
              <w:keepLines/>
              <w:spacing w:before="120" w:after="120"/>
              <w:rPr>
                <w:rFonts w:cs="Arial"/>
                <w:szCs w:val="20"/>
              </w:rPr>
            </w:pPr>
            <w:r w:rsidRPr="00231528">
              <w:rPr>
                <w:rFonts w:cs="Arial"/>
                <w:szCs w:val="20"/>
              </w:rPr>
              <w:t>There are no costs or benefits to governments associated with this option.</w:t>
            </w:r>
          </w:p>
        </w:tc>
      </w:tr>
    </w:tbl>
    <w:p w14:paraId="41973ACC" w14:textId="77777777" w:rsidR="0038464F" w:rsidRPr="00231528" w:rsidRDefault="0038464F" w:rsidP="0038464F">
      <w:pPr>
        <w:keepNext/>
        <w:spacing w:before="240" w:after="240"/>
        <w:ind w:left="851" w:hanging="851"/>
        <w:outlineLvl w:val="3"/>
        <w:rPr>
          <w:b/>
          <w:bCs/>
          <w:iCs/>
          <w:szCs w:val="22"/>
          <w:lang w:bidi="ar-SA"/>
        </w:rPr>
      </w:pPr>
      <w:r w:rsidRPr="00231528">
        <w:rPr>
          <w:b/>
          <w:bCs/>
          <w:iCs/>
          <w:szCs w:val="22"/>
          <w:lang w:bidi="ar-SA"/>
        </w:rPr>
        <w:t>Option 2 – Reject the Application</w:t>
      </w:r>
    </w:p>
    <w:tbl>
      <w:tblPr>
        <w:tblStyle w:val="TableGrid1"/>
        <w:tblW w:w="9322" w:type="dxa"/>
        <w:tblLook w:val="04A0" w:firstRow="1" w:lastRow="0" w:firstColumn="1" w:lastColumn="0" w:noHBand="0" w:noVBand="1"/>
      </w:tblPr>
      <w:tblGrid>
        <w:gridCol w:w="1537"/>
        <w:gridCol w:w="7785"/>
      </w:tblGrid>
      <w:tr w:rsidR="0038464F" w:rsidRPr="00231528" w14:paraId="2ACD97B6" w14:textId="77777777" w:rsidTr="0038464F">
        <w:tc>
          <w:tcPr>
            <w:tcW w:w="0" w:type="auto"/>
            <w:shd w:val="clear" w:color="auto" w:fill="C2D69B" w:themeFill="accent3" w:themeFillTint="99"/>
          </w:tcPr>
          <w:p w14:paraId="61B77195" w14:textId="77777777" w:rsidR="0038464F" w:rsidRPr="00231528" w:rsidRDefault="0038464F" w:rsidP="0038464F">
            <w:pPr>
              <w:keepNext/>
              <w:keepLines/>
              <w:spacing w:before="120" w:after="120"/>
              <w:rPr>
                <w:rFonts w:cs="Arial"/>
                <w:b/>
                <w:szCs w:val="20"/>
              </w:rPr>
            </w:pPr>
            <w:bookmarkStart w:id="89" w:name="_Toc120358590"/>
            <w:bookmarkStart w:id="90" w:name="_Toc294176162"/>
            <w:r w:rsidRPr="00231528">
              <w:rPr>
                <w:rFonts w:cs="Arial"/>
                <w:b/>
                <w:szCs w:val="20"/>
              </w:rPr>
              <w:t>Sector</w:t>
            </w:r>
          </w:p>
        </w:tc>
        <w:tc>
          <w:tcPr>
            <w:tcW w:w="7905" w:type="dxa"/>
            <w:shd w:val="clear" w:color="auto" w:fill="C2D69B" w:themeFill="accent3" w:themeFillTint="99"/>
          </w:tcPr>
          <w:p w14:paraId="558D5A49" w14:textId="77777777" w:rsidR="0038464F" w:rsidRPr="00231528" w:rsidRDefault="0038464F" w:rsidP="0038464F">
            <w:pPr>
              <w:keepNext/>
              <w:keepLines/>
              <w:spacing w:before="120" w:after="120"/>
              <w:rPr>
                <w:rFonts w:cs="Arial"/>
                <w:b/>
                <w:szCs w:val="20"/>
              </w:rPr>
            </w:pPr>
            <w:r w:rsidRPr="00231528">
              <w:rPr>
                <w:rFonts w:cs="Arial"/>
                <w:b/>
                <w:szCs w:val="20"/>
              </w:rPr>
              <w:t>Costs or benefits to sector</w:t>
            </w:r>
          </w:p>
        </w:tc>
      </w:tr>
      <w:tr w:rsidR="0038464F" w:rsidRPr="00231528" w14:paraId="38FAE368" w14:textId="77777777" w:rsidTr="0038464F">
        <w:tc>
          <w:tcPr>
            <w:tcW w:w="0" w:type="auto"/>
          </w:tcPr>
          <w:p w14:paraId="2C41D7E4" w14:textId="77777777" w:rsidR="0038464F" w:rsidRPr="00231528" w:rsidRDefault="0038464F" w:rsidP="0038464F">
            <w:pPr>
              <w:spacing w:before="120" w:after="120"/>
              <w:rPr>
                <w:rFonts w:cs="Arial"/>
                <w:szCs w:val="20"/>
              </w:rPr>
            </w:pPr>
            <w:r w:rsidRPr="00231528">
              <w:rPr>
                <w:rFonts w:cs="Arial"/>
                <w:szCs w:val="20"/>
              </w:rPr>
              <w:t>Consumers</w:t>
            </w:r>
          </w:p>
        </w:tc>
        <w:tc>
          <w:tcPr>
            <w:tcW w:w="7905" w:type="dxa"/>
          </w:tcPr>
          <w:p w14:paraId="75041733" w14:textId="77777777" w:rsidR="0038464F" w:rsidRPr="00231528" w:rsidRDefault="0038464F" w:rsidP="0038464F">
            <w:pPr>
              <w:spacing w:before="120" w:after="120"/>
              <w:rPr>
                <w:rFonts w:cs="Arial"/>
                <w:szCs w:val="20"/>
              </w:rPr>
            </w:pPr>
            <w:r w:rsidRPr="00231528">
              <w:rPr>
                <w:rFonts w:cs="Arial"/>
                <w:szCs w:val="20"/>
              </w:rPr>
              <w:t>There are no benefits or costs to consumers of this option.</w:t>
            </w:r>
          </w:p>
        </w:tc>
      </w:tr>
      <w:tr w:rsidR="0038464F" w:rsidRPr="00231528" w14:paraId="25974F80" w14:textId="77777777" w:rsidTr="0038464F">
        <w:tc>
          <w:tcPr>
            <w:tcW w:w="0" w:type="auto"/>
          </w:tcPr>
          <w:p w14:paraId="0BF2EB92" w14:textId="77777777" w:rsidR="0038464F" w:rsidRPr="00231528" w:rsidRDefault="0038464F" w:rsidP="0038464F">
            <w:pPr>
              <w:spacing w:before="120" w:after="120"/>
              <w:rPr>
                <w:rFonts w:cs="Arial"/>
                <w:szCs w:val="20"/>
              </w:rPr>
            </w:pPr>
            <w:r w:rsidRPr="00231528">
              <w:rPr>
                <w:rFonts w:cs="Arial"/>
                <w:szCs w:val="20"/>
              </w:rPr>
              <w:t>Industry</w:t>
            </w:r>
          </w:p>
        </w:tc>
        <w:tc>
          <w:tcPr>
            <w:tcW w:w="7905" w:type="dxa"/>
          </w:tcPr>
          <w:p w14:paraId="0143EAE7" w14:textId="77777777" w:rsidR="0038464F" w:rsidRPr="00231528" w:rsidRDefault="0038464F" w:rsidP="0038464F">
            <w:pPr>
              <w:spacing w:before="120" w:after="120"/>
              <w:rPr>
                <w:rFonts w:cs="Arial"/>
                <w:szCs w:val="20"/>
              </w:rPr>
            </w:pPr>
            <w:r w:rsidRPr="00231528">
              <w:rPr>
                <w:rFonts w:cs="Arial"/>
                <w:szCs w:val="20"/>
              </w:rPr>
              <w:t>There are no benefits to industry from this option</w:t>
            </w:r>
            <w:r>
              <w:rPr>
                <w:rFonts w:cs="Arial"/>
                <w:szCs w:val="20"/>
              </w:rPr>
              <w:t>, as an alternative source of the enzyme will not be available.</w:t>
            </w:r>
          </w:p>
        </w:tc>
      </w:tr>
      <w:tr w:rsidR="0038464F" w:rsidRPr="00231528" w14:paraId="19C0B638" w14:textId="77777777" w:rsidTr="0038464F">
        <w:tc>
          <w:tcPr>
            <w:tcW w:w="0" w:type="auto"/>
          </w:tcPr>
          <w:p w14:paraId="38D1A217" w14:textId="77777777" w:rsidR="0038464F" w:rsidRPr="00231528" w:rsidRDefault="0038464F" w:rsidP="0038464F">
            <w:pPr>
              <w:spacing w:before="120" w:after="120"/>
              <w:rPr>
                <w:rFonts w:cs="Arial"/>
                <w:szCs w:val="20"/>
              </w:rPr>
            </w:pPr>
            <w:r w:rsidRPr="00231528">
              <w:rPr>
                <w:rFonts w:cs="Arial"/>
                <w:szCs w:val="20"/>
              </w:rPr>
              <w:t>Governments</w:t>
            </w:r>
          </w:p>
        </w:tc>
        <w:tc>
          <w:tcPr>
            <w:tcW w:w="7905" w:type="dxa"/>
          </w:tcPr>
          <w:p w14:paraId="5D44215C" w14:textId="77777777" w:rsidR="0038464F" w:rsidRPr="00231528" w:rsidRDefault="0038464F" w:rsidP="0038464F">
            <w:pPr>
              <w:spacing w:before="120" w:after="120"/>
              <w:rPr>
                <w:rFonts w:cs="Arial"/>
                <w:szCs w:val="20"/>
              </w:rPr>
            </w:pPr>
            <w:r w:rsidRPr="00231528">
              <w:rPr>
                <w:rFonts w:cs="Arial"/>
                <w:szCs w:val="20"/>
              </w:rPr>
              <w:t>There are no benefits or costs to governments for this option.</w:t>
            </w:r>
          </w:p>
        </w:tc>
      </w:tr>
      <w:bookmarkEnd w:id="89"/>
      <w:bookmarkEnd w:id="90"/>
    </w:tbl>
    <w:p w14:paraId="111B361F" w14:textId="77777777" w:rsidR="0038464F" w:rsidRPr="00231528" w:rsidRDefault="0038464F" w:rsidP="0038464F">
      <w:pPr>
        <w:rPr>
          <w:rFonts w:cs="Arial"/>
          <w:color w:val="000000" w:themeColor="text1"/>
        </w:rPr>
      </w:pPr>
    </w:p>
    <w:p w14:paraId="16DFDAE7" w14:textId="2387838C" w:rsidR="002C1A3B" w:rsidRPr="002C1A3B" w:rsidRDefault="0099623A" w:rsidP="002C1A3B">
      <w:r w:rsidRPr="002A39E5">
        <w:t xml:space="preserve">The direct and indirect benefits that would arise from a food regulatory measure developed or varied as a result of the </w:t>
      </w:r>
      <w:r w:rsidR="002A39E5" w:rsidRPr="002A39E5">
        <w:t>A</w:t>
      </w:r>
      <w:r w:rsidRPr="002A39E5">
        <w:t>pplication outweigh</w:t>
      </w:r>
      <w:r w:rsidR="0038464F">
        <w:t>ed</w:t>
      </w:r>
      <w:r w:rsidRPr="002A39E5">
        <w:t xml:space="preserve"> the costs to the community, </w:t>
      </w:r>
      <w:r w:rsidR="00A42E1E">
        <w:t>g</w:t>
      </w:r>
      <w:r w:rsidRPr="002A39E5">
        <w:t xml:space="preserve">overnment or industry that would arise from the development or variation of the food regulatory </w:t>
      </w:r>
      <w:r>
        <w:t>measure.</w:t>
      </w:r>
    </w:p>
    <w:p w14:paraId="390D732B" w14:textId="3D3D9403" w:rsidR="002C1A3B" w:rsidRPr="002C1A3B" w:rsidRDefault="002C1A3B" w:rsidP="00D4259D">
      <w:pPr>
        <w:pStyle w:val="Heading3"/>
      </w:pPr>
      <w:bookmarkStart w:id="91" w:name="_Toc494789960"/>
      <w:r w:rsidRPr="002C1A3B">
        <w:t>5.1.2</w:t>
      </w:r>
      <w:r w:rsidRPr="002C1A3B">
        <w:tab/>
        <w:t>Other measures</w:t>
      </w:r>
      <w:bookmarkEnd w:id="91"/>
    </w:p>
    <w:p w14:paraId="540816A8" w14:textId="0DECD412" w:rsidR="002C1A3B" w:rsidRPr="00F55E6C" w:rsidRDefault="002C1A3B" w:rsidP="002C1A3B">
      <w:r w:rsidRPr="002C1A3B">
        <w:t xml:space="preserve">There are no other measures (whether available to FSANZ or not) that would be more cost-effective than a food regulatory measure developed or varied as a result </w:t>
      </w:r>
      <w:r w:rsidRPr="00F55E6C">
        <w:t>of the Application.</w:t>
      </w:r>
    </w:p>
    <w:p w14:paraId="555A034C" w14:textId="2094C795" w:rsidR="002C1A3B" w:rsidRPr="002C1A3B" w:rsidRDefault="002C1A3B" w:rsidP="00D4259D">
      <w:pPr>
        <w:pStyle w:val="Heading3"/>
      </w:pPr>
      <w:bookmarkStart w:id="92" w:name="_Toc494789961"/>
      <w:r w:rsidRPr="002C1A3B">
        <w:t>5.1.3</w:t>
      </w:r>
      <w:r w:rsidRPr="002C1A3B">
        <w:tab/>
        <w:t>Any relevant New Zealand standards</w:t>
      </w:r>
      <w:bookmarkEnd w:id="92"/>
    </w:p>
    <w:p w14:paraId="37F75056" w14:textId="010825FE" w:rsidR="0029331F" w:rsidRPr="0029331F" w:rsidRDefault="0029331F" w:rsidP="0029331F">
      <w:pPr>
        <w:rPr>
          <w:lang w:bidi="ar-SA"/>
        </w:rPr>
      </w:pPr>
      <w:r w:rsidRPr="0029331F">
        <w:rPr>
          <w:lang w:bidi="ar-SA"/>
        </w:rPr>
        <w:t>Schedule 18 applies in both Australia and New Zealand.</w:t>
      </w:r>
      <w:r>
        <w:rPr>
          <w:lang w:bidi="ar-SA"/>
        </w:rPr>
        <w:t xml:space="preserve"> There are no relevant New Zealand only standards.</w:t>
      </w:r>
    </w:p>
    <w:p w14:paraId="40B55343" w14:textId="171E0BD4" w:rsidR="002C1A3B" w:rsidRPr="002C1A3B" w:rsidRDefault="002C1A3B" w:rsidP="00D4259D">
      <w:pPr>
        <w:pStyle w:val="Heading3"/>
      </w:pPr>
      <w:bookmarkStart w:id="93" w:name="_Toc494789962"/>
      <w:r w:rsidRPr="002C1A3B">
        <w:t>5.1.4</w:t>
      </w:r>
      <w:r w:rsidRPr="002C1A3B">
        <w:tab/>
        <w:t>Any other relevant matters</w:t>
      </w:r>
      <w:bookmarkEnd w:id="93"/>
    </w:p>
    <w:p w14:paraId="7B74BE6A" w14:textId="77777777" w:rsidR="001F7F63" w:rsidRDefault="001F7F63" w:rsidP="001F7F63">
      <w:pPr>
        <w:rPr>
          <w:lang w:bidi="ar-SA"/>
        </w:rPr>
      </w:pPr>
      <w:bookmarkStart w:id="94" w:name="_Toc370223479"/>
      <w:bookmarkStart w:id="95" w:name="_Toc370225394"/>
      <w:bookmarkStart w:id="96" w:name="_Toc300761897"/>
      <w:bookmarkStart w:id="97" w:name="_Toc300933440"/>
      <w:r>
        <w:t>Other relevant matters are considered below</w:t>
      </w:r>
      <w:r>
        <w:rPr>
          <w:lang w:bidi="ar-SA"/>
        </w:rPr>
        <w:t>.</w:t>
      </w:r>
      <w:r>
        <w:t xml:space="preserve"> </w:t>
      </w:r>
    </w:p>
    <w:p w14:paraId="48B9EEDB" w14:textId="3F391EAC" w:rsidR="002C1A3B" w:rsidRPr="002C1A3B" w:rsidRDefault="002C1A3B" w:rsidP="00D4259D">
      <w:pPr>
        <w:pStyle w:val="Heading2"/>
      </w:pPr>
      <w:bookmarkStart w:id="98" w:name="_Toc494789963"/>
      <w:r w:rsidRPr="002C1A3B">
        <w:t>5.2.</w:t>
      </w:r>
      <w:r w:rsidRPr="002C1A3B">
        <w:tab/>
        <w:t>Subsection 18(1)</w:t>
      </w:r>
      <w:bookmarkEnd w:id="94"/>
      <w:bookmarkEnd w:id="95"/>
      <w:bookmarkEnd w:id="98"/>
      <w:r w:rsidRPr="002C1A3B">
        <w:t xml:space="preserve"> </w:t>
      </w:r>
      <w:bookmarkEnd w:id="96"/>
      <w:bookmarkEnd w:id="97"/>
    </w:p>
    <w:p w14:paraId="200D154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30F56CAE" w14:textId="39777168" w:rsidR="002C1A3B" w:rsidRPr="002C1A3B" w:rsidRDefault="002C1A3B" w:rsidP="007D5663">
      <w:pPr>
        <w:pStyle w:val="Heading3"/>
      </w:pPr>
      <w:bookmarkStart w:id="99" w:name="_Toc297029117"/>
      <w:bookmarkStart w:id="100" w:name="_Toc300761898"/>
      <w:bookmarkStart w:id="101" w:name="_Toc300933441"/>
      <w:bookmarkStart w:id="102" w:name="_Toc494789964"/>
      <w:r w:rsidRPr="002C1A3B">
        <w:t>5.2.1</w:t>
      </w:r>
      <w:r w:rsidRPr="002C1A3B">
        <w:tab/>
        <w:t>Protection of public health and safety</w:t>
      </w:r>
      <w:bookmarkEnd w:id="99"/>
      <w:bookmarkEnd w:id="100"/>
      <w:bookmarkEnd w:id="101"/>
      <w:bookmarkEnd w:id="102"/>
    </w:p>
    <w:p w14:paraId="4C47FA03" w14:textId="78007C38" w:rsidR="0029331F" w:rsidRPr="0029331F" w:rsidRDefault="0029331F" w:rsidP="0029331F">
      <w:bookmarkStart w:id="103" w:name="_Toc300761899"/>
      <w:bookmarkStart w:id="104" w:name="_Toc300933442"/>
      <w:r w:rsidRPr="0029331F">
        <w:t>FSANZ ha</w:t>
      </w:r>
      <w:r>
        <w:t>d</w:t>
      </w:r>
      <w:r w:rsidRPr="0029331F">
        <w:t xml:space="preserve"> undertaken a safety assessment (SD1), summarised in </w:t>
      </w:r>
      <w:r w:rsidRPr="00F55E6C">
        <w:t>section 2.</w:t>
      </w:r>
      <w:r w:rsidR="00F55E6C" w:rsidRPr="00F55E6C">
        <w:t>2</w:t>
      </w:r>
      <w:r w:rsidRPr="0029331F">
        <w:t xml:space="preserve"> and concluded there are no public health and safety concerns relating to permitting the enzyme triacylglycerol lipase sourced from </w:t>
      </w:r>
      <w:r w:rsidRPr="0029331F">
        <w:rPr>
          <w:i/>
        </w:rPr>
        <w:t xml:space="preserve">C. </w:t>
      </w:r>
      <w:proofErr w:type="spellStart"/>
      <w:r w:rsidRPr="0029331F">
        <w:rPr>
          <w:i/>
        </w:rPr>
        <w:t>cylindracea</w:t>
      </w:r>
      <w:proofErr w:type="spellEnd"/>
      <w:r w:rsidRPr="0029331F">
        <w:t xml:space="preserve"> as an enzyme processing aid.</w:t>
      </w:r>
    </w:p>
    <w:p w14:paraId="714DD1BE" w14:textId="7B7FA384" w:rsidR="002C1A3B" w:rsidRPr="002C1A3B" w:rsidRDefault="002C1A3B" w:rsidP="00D4259D">
      <w:pPr>
        <w:pStyle w:val="Heading3"/>
      </w:pPr>
      <w:bookmarkStart w:id="105" w:name="_Toc494789965"/>
      <w:r w:rsidRPr="002C1A3B">
        <w:t>5.2.2</w:t>
      </w:r>
      <w:r w:rsidRPr="002C1A3B">
        <w:tab/>
        <w:t>The provision of adequate information relating to food to enable consumers to make informed choices</w:t>
      </w:r>
      <w:bookmarkEnd w:id="103"/>
      <w:bookmarkEnd w:id="104"/>
      <w:bookmarkEnd w:id="105"/>
    </w:p>
    <w:p w14:paraId="59397D49" w14:textId="14FA3373" w:rsidR="0029331F" w:rsidRPr="0029331F" w:rsidRDefault="0029331F" w:rsidP="0029331F">
      <w:bookmarkStart w:id="106" w:name="_Toc300761900"/>
      <w:bookmarkStart w:id="107" w:name="_Toc300933443"/>
      <w:r w:rsidRPr="0029331F">
        <w:t xml:space="preserve">No issues have been identified. The labelling requirements for processing aids are discussed in </w:t>
      </w:r>
      <w:r w:rsidR="00323426">
        <w:t>s</w:t>
      </w:r>
      <w:r w:rsidRPr="00F55E6C">
        <w:t>ection 2.</w:t>
      </w:r>
      <w:r w:rsidR="00F55E6C" w:rsidRPr="00F55E6C">
        <w:t>3</w:t>
      </w:r>
      <w:r w:rsidRPr="00F55E6C">
        <w:t>.3</w:t>
      </w:r>
      <w:r w:rsidRPr="0029331F">
        <w:t xml:space="preserve"> – Labelling considerations.</w:t>
      </w:r>
    </w:p>
    <w:p w14:paraId="76A871AA" w14:textId="4E7F244C" w:rsidR="002C1A3B" w:rsidRPr="002C1A3B" w:rsidRDefault="002C1A3B" w:rsidP="00D4259D">
      <w:pPr>
        <w:pStyle w:val="Heading3"/>
      </w:pPr>
      <w:bookmarkStart w:id="108" w:name="_Toc494789966"/>
      <w:r w:rsidRPr="002C1A3B">
        <w:t>5.2.3</w:t>
      </w:r>
      <w:r w:rsidRPr="002C1A3B">
        <w:tab/>
        <w:t>The prevention of misleading or deceptive conduct</w:t>
      </w:r>
      <w:bookmarkEnd w:id="106"/>
      <w:bookmarkEnd w:id="107"/>
      <w:bookmarkEnd w:id="108"/>
    </w:p>
    <w:p w14:paraId="30FB4DBD" w14:textId="77777777" w:rsidR="0029331F" w:rsidRPr="0029331F" w:rsidRDefault="0029331F" w:rsidP="0029331F">
      <w:bookmarkStart w:id="109" w:name="_Toc300761901"/>
      <w:bookmarkStart w:id="110" w:name="_Toc300933444"/>
      <w:bookmarkStart w:id="111" w:name="_Toc370223480"/>
      <w:bookmarkStart w:id="112" w:name="_Toc370225395"/>
      <w:r w:rsidRPr="0029331F">
        <w:t>There are no issues identified with this Application relevant to this objective.</w:t>
      </w:r>
    </w:p>
    <w:p w14:paraId="7FAD611E" w14:textId="3F61E732" w:rsidR="002C1A3B" w:rsidRPr="002C1A3B" w:rsidRDefault="002C1A3B" w:rsidP="00D4259D">
      <w:pPr>
        <w:pStyle w:val="Heading2"/>
        <w:rPr>
          <w:lang w:eastAsia="en-AU"/>
        </w:rPr>
      </w:pPr>
      <w:bookmarkStart w:id="113" w:name="_Toc494789967"/>
      <w:r w:rsidRPr="002C1A3B">
        <w:rPr>
          <w:lang w:eastAsia="en-AU"/>
        </w:rPr>
        <w:t>5.3</w:t>
      </w:r>
      <w:r w:rsidRPr="002C1A3B">
        <w:rPr>
          <w:lang w:eastAsia="en-AU"/>
        </w:rPr>
        <w:tab/>
        <w:t xml:space="preserve">Subsection 18(2) </w:t>
      </w:r>
      <w:bookmarkEnd w:id="109"/>
      <w:bookmarkEnd w:id="110"/>
      <w:r w:rsidRPr="002C1A3B">
        <w:rPr>
          <w:lang w:eastAsia="en-AU"/>
        </w:rPr>
        <w:t>considerations</w:t>
      </w:r>
      <w:bookmarkEnd w:id="111"/>
      <w:bookmarkEnd w:id="112"/>
      <w:bookmarkEnd w:id="113"/>
    </w:p>
    <w:p w14:paraId="3973BA87" w14:textId="77777777" w:rsidR="002C1A3B" w:rsidRPr="002C1A3B" w:rsidRDefault="002C1A3B" w:rsidP="002C1A3B">
      <w:pPr>
        <w:rPr>
          <w:rFonts w:cs="Arial"/>
        </w:rPr>
      </w:pPr>
      <w:r w:rsidRPr="002C1A3B">
        <w:rPr>
          <w:rFonts w:cs="Arial"/>
        </w:rPr>
        <w:t>FSANZ has also had regard to:</w:t>
      </w:r>
    </w:p>
    <w:p w14:paraId="27C7A5D6" w14:textId="77777777" w:rsidR="002C1A3B" w:rsidRPr="002C1A3B" w:rsidRDefault="002C1A3B" w:rsidP="002C1A3B">
      <w:pPr>
        <w:rPr>
          <w:rFonts w:cs="Arial"/>
        </w:rPr>
      </w:pPr>
    </w:p>
    <w:p w14:paraId="3131BF96"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5C8FA3D9" w14:textId="77777777" w:rsidR="002C1A3B" w:rsidRPr="002C1A3B" w:rsidRDefault="002C1A3B" w:rsidP="002C1A3B">
      <w:pPr>
        <w:rPr>
          <w:lang w:bidi="ar-SA"/>
        </w:rPr>
      </w:pPr>
    </w:p>
    <w:p w14:paraId="6A949BFF" w14:textId="485BE769" w:rsidR="0029331F" w:rsidRPr="0029331F" w:rsidRDefault="0029331F" w:rsidP="0029331F">
      <w:r w:rsidRPr="0029331F">
        <w:t xml:space="preserve">FSANZ has used the best available scientific evidence to conduct the risk analysis, which is provided in SD1. The Applicant submitted a dossier of scientific studies as part of their Application. Other technical information, including scientific literature, was also used </w:t>
      </w:r>
      <w:r w:rsidR="00A42E1E">
        <w:t>to assess</w:t>
      </w:r>
      <w:r w:rsidRPr="0029331F">
        <w:t xml:space="preserve"> the Application.</w:t>
      </w:r>
    </w:p>
    <w:p w14:paraId="0EECB40B" w14:textId="77777777" w:rsidR="002C1A3B" w:rsidRPr="002C1A3B" w:rsidRDefault="002C1A3B" w:rsidP="002C1A3B">
      <w:pPr>
        <w:rPr>
          <w:lang w:bidi="ar-SA"/>
        </w:rPr>
      </w:pPr>
    </w:p>
    <w:p w14:paraId="29C3C38B" w14:textId="77777777" w:rsidR="002C1A3B" w:rsidRPr="002C1A3B" w:rsidRDefault="002C1A3B" w:rsidP="002C1A3B">
      <w:pPr>
        <w:pStyle w:val="FSBullet1"/>
        <w:rPr>
          <w:b/>
        </w:rPr>
      </w:pPr>
      <w:r w:rsidRPr="002C1A3B">
        <w:rPr>
          <w:b/>
        </w:rPr>
        <w:t>the promotion of consistency between domestic and international food standards</w:t>
      </w:r>
    </w:p>
    <w:p w14:paraId="56317227" w14:textId="77777777" w:rsidR="002C1A3B" w:rsidRPr="002C1A3B" w:rsidRDefault="002C1A3B" w:rsidP="002C1A3B">
      <w:pPr>
        <w:rPr>
          <w:lang w:bidi="ar-SA"/>
        </w:rPr>
      </w:pPr>
    </w:p>
    <w:p w14:paraId="73A08B0A" w14:textId="77777777" w:rsidR="0029331F" w:rsidRPr="0029331F" w:rsidRDefault="0029331F" w:rsidP="0029331F">
      <w:r w:rsidRPr="0029331F">
        <w:t xml:space="preserve">There are no Codex </w:t>
      </w:r>
      <w:proofErr w:type="spellStart"/>
      <w:r w:rsidRPr="0029331F">
        <w:t>Alimentarius</w:t>
      </w:r>
      <w:proofErr w:type="spellEnd"/>
      <w:r w:rsidRPr="0029331F">
        <w:t xml:space="preserve"> Standards for enzymes. However, this enzyme is permitted for use in Japan and China. It also meets international specifications for enzyme preparations, being the JECFA Compendium of Food Additive Specifications and the Food Chemicals Codex.</w:t>
      </w:r>
    </w:p>
    <w:p w14:paraId="74E6D762" w14:textId="77777777" w:rsidR="002C1A3B" w:rsidRPr="002C1A3B" w:rsidRDefault="002C1A3B" w:rsidP="002C1A3B">
      <w:pPr>
        <w:rPr>
          <w:lang w:bidi="ar-SA"/>
        </w:rPr>
      </w:pPr>
    </w:p>
    <w:p w14:paraId="56E1D25F" w14:textId="77777777" w:rsidR="002C1A3B" w:rsidRPr="002C1A3B" w:rsidRDefault="002C1A3B" w:rsidP="002C1A3B">
      <w:pPr>
        <w:pStyle w:val="FSBullet1"/>
        <w:rPr>
          <w:b/>
        </w:rPr>
      </w:pPr>
      <w:r w:rsidRPr="002C1A3B">
        <w:rPr>
          <w:b/>
        </w:rPr>
        <w:t>the desirability of an efficient and internationally competitive food industry</w:t>
      </w:r>
    </w:p>
    <w:p w14:paraId="30506572" w14:textId="77777777" w:rsidR="002C1A3B" w:rsidRPr="002C1A3B" w:rsidRDefault="002C1A3B" w:rsidP="002C1A3B">
      <w:pPr>
        <w:rPr>
          <w:lang w:bidi="ar-SA"/>
        </w:rPr>
      </w:pPr>
    </w:p>
    <w:p w14:paraId="34033682" w14:textId="3DD14D94" w:rsidR="0029331F" w:rsidRPr="0029331F" w:rsidRDefault="0029331F" w:rsidP="0029331F">
      <w:r w:rsidRPr="0029331F">
        <w:t xml:space="preserve">Permission for this enzyme preparation provides food manufacturers with an alternative source which should add to competition </w:t>
      </w:r>
      <w:r w:rsidR="00B5558E">
        <w:t>in</w:t>
      </w:r>
      <w:r w:rsidRPr="0029331F">
        <w:t xml:space="preserve"> supplying enzymes to the food manufacturing industries. </w:t>
      </w:r>
    </w:p>
    <w:p w14:paraId="0BECC61B" w14:textId="77777777" w:rsidR="002C1A3B" w:rsidRPr="002C1A3B" w:rsidRDefault="002C1A3B" w:rsidP="002C1A3B">
      <w:pPr>
        <w:rPr>
          <w:lang w:bidi="ar-SA"/>
        </w:rPr>
      </w:pPr>
    </w:p>
    <w:p w14:paraId="1578BB26" w14:textId="77777777" w:rsidR="002C1A3B" w:rsidRPr="002C1A3B" w:rsidRDefault="002C1A3B" w:rsidP="002C1A3B">
      <w:pPr>
        <w:pStyle w:val="FSBullet1"/>
        <w:rPr>
          <w:b/>
        </w:rPr>
      </w:pPr>
      <w:r w:rsidRPr="002C1A3B">
        <w:rPr>
          <w:b/>
        </w:rPr>
        <w:t>the promotion of fair trading in food</w:t>
      </w:r>
    </w:p>
    <w:p w14:paraId="53B06344" w14:textId="77777777" w:rsidR="002C1A3B" w:rsidRPr="002C1A3B" w:rsidRDefault="002C1A3B" w:rsidP="002C1A3B">
      <w:pPr>
        <w:rPr>
          <w:lang w:bidi="ar-SA"/>
        </w:rPr>
      </w:pPr>
    </w:p>
    <w:p w14:paraId="3F254249" w14:textId="77777777" w:rsidR="0029331F" w:rsidRPr="0029331F" w:rsidRDefault="0029331F" w:rsidP="0029331F">
      <w:pPr>
        <w:rPr>
          <w:lang w:bidi="ar-SA"/>
        </w:rPr>
      </w:pPr>
      <w:r w:rsidRPr="0029331F">
        <w:rPr>
          <w:lang w:bidi="ar-SA"/>
        </w:rPr>
        <w:t>FSANZ did not identify any relevant issues relating to this consideration.</w:t>
      </w:r>
    </w:p>
    <w:p w14:paraId="2A3A9B8A" w14:textId="77777777" w:rsidR="002C1A3B" w:rsidRPr="002C1A3B" w:rsidRDefault="002C1A3B" w:rsidP="002C1A3B">
      <w:pPr>
        <w:rPr>
          <w:lang w:bidi="ar-SA"/>
        </w:rPr>
      </w:pPr>
    </w:p>
    <w:p w14:paraId="256DC99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7FDA5746" w14:textId="77777777" w:rsidR="002C1A3B" w:rsidRDefault="002C1A3B" w:rsidP="002C1A3B">
      <w:pPr>
        <w:rPr>
          <w:lang w:bidi="ar-SA"/>
        </w:rPr>
      </w:pPr>
    </w:p>
    <w:p w14:paraId="0B07F2BD" w14:textId="523FB65B" w:rsidR="0029331F" w:rsidRPr="0029331F" w:rsidRDefault="0029331F" w:rsidP="0029331F">
      <w:r w:rsidRPr="0029331F">
        <w:rPr>
          <w:szCs w:val="22"/>
        </w:rPr>
        <w:t xml:space="preserve">The </w:t>
      </w:r>
      <w:hyperlink r:id="rId20" w:history="1">
        <w:r w:rsidRPr="0029331F">
          <w:rPr>
            <w:color w:val="3333FF"/>
            <w:szCs w:val="22"/>
            <w:u w:val="single"/>
          </w:rPr>
          <w:t>Policy Guideline for the Addition to Food of Substances other than Vitamins and Minerals</w:t>
        </w:r>
      </w:hyperlink>
      <w:r w:rsidRPr="0029331F">
        <w:rPr>
          <w:vertAlign w:val="superscript"/>
        </w:rPr>
        <w:footnoteReference w:id="7"/>
      </w:r>
      <w:r w:rsidRPr="0029331F">
        <w:rPr>
          <w:szCs w:val="22"/>
        </w:rPr>
        <w:t xml:space="preserve"> </w:t>
      </w:r>
      <w:r w:rsidRPr="0029331F">
        <w:t>includes specific order policy principles for substances added to achieve a solely technological function, such as food additives. These specific order policy principles state that permission should be granted where:</w:t>
      </w:r>
    </w:p>
    <w:p w14:paraId="4AF7E545" w14:textId="77777777" w:rsidR="0029331F" w:rsidRPr="0029331F" w:rsidRDefault="0029331F" w:rsidP="0029331F"/>
    <w:p w14:paraId="23237324" w14:textId="77777777" w:rsidR="0029331F" w:rsidRPr="0029331F" w:rsidRDefault="0029331F" w:rsidP="0029331F">
      <w:pPr>
        <w:widowControl/>
        <w:numPr>
          <w:ilvl w:val="0"/>
          <w:numId w:val="45"/>
        </w:numPr>
        <w:ind w:left="567" w:hanging="567"/>
        <w:rPr>
          <w:rFonts w:cs="Arial"/>
          <w:lang w:bidi="ar-SA"/>
        </w:rPr>
      </w:pPr>
      <w:r w:rsidRPr="0029331F">
        <w:rPr>
          <w:rFonts w:cs="Arial"/>
          <w:lang w:bidi="ar-SA"/>
        </w:rPr>
        <w:t>the purpose for adding the substance can be articulated clearly by the manufacturer as achieving a solely technological function (i.e. the ‘stated purpose’)</w:t>
      </w:r>
    </w:p>
    <w:p w14:paraId="2204F536" w14:textId="77777777" w:rsidR="0029331F" w:rsidRPr="0029331F" w:rsidRDefault="0029331F" w:rsidP="0029331F">
      <w:pPr>
        <w:widowControl/>
        <w:numPr>
          <w:ilvl w:val="0"/>
          <w:numId w:val="45"/>
        </w:numPr>
        <w:ind w:left="567" w:hanging="567"/>
        <w:rPr>
          <w:rFonts w:cs="Arial"/>
          <w:lang w:bidi="ar-SA"/>
        </w:rPr>
      </w:pPr>
      <w:r w:rsidRPr="0029331F">
        <w:rPr>
          <w:rFonts w:cs="Arial"/>
          <w:lang w:bidi="ar-SA"/>
        </w:rPr>
        <w:t>the addition of the substance to food is safe for human consumption</w:t>
      </w:r>
    </w:p>
    <w:p w14:paraId="333FD6E2" w14:textId="77777777" w:rsidR="0029331F" w:rsidRPr="0029331F" w:rsidRDefault="0029331F" w:rsidP="0029331F">
      <w:pPr>
        <w:widowControl/>
        <w:numPr>
          <w:ilvl w:val="0"/>
          <w:numId w:val="45"/>
        </w:numPr>
        <w:ind w:left="567" w:hanging="567"/>
        <w:rPr>
          <w:rFonts w:cs="Arial"/>
          <w:lang w:bidi="ar-SA"/>
        </w:rPr>
      </w:pPr>
      <w:r w:rsidRPr="0029331F">
        <w:rPr>
          <w:rFonts w:cs="Arial"/>
          <w:lang w:bidi="ar-SA"/>
        </w:rPr>
        <w:t>the amounts added are consistent with achieving the technological function</w:t>
      </w:r>
    </w:p>
    <w:p w14:paraId="332373C5" w14:textId="77777777" w:rsidR="0029331F" w:rsidRPr="0029331F" w:rsidRDefault="0029331F" w:rsidP="0029331F">
      <w:pPr>
        <w:widowControl/>
        <w:numPr>
          <w:ilvl w:val="0"/>
          <w:numId w:val="45"/>
        </w:numPr>
        <w:ind w:left="567" w:hanging="567"/>
        <w:rPr>
          <w:rFonts w:cs="Arial"/>
          <w:lang w:bidi="ar-SA"/>
        </w:rPr>
      </w:pPr>
      <w:r w:rsidRPr="0029331F">
        <w:rPr>
          <w:rFonts w:cs="Arial"/>
          <w:lang w:bidi="ar-SA"/>
        </w:rPr>
        <w:t>the substance is added in a quantity and a form which is consistent with delivering the stated purpose</w:t>
      </w:r>
    </w:p>
    <w:p w14:paraId="721D13F8" w14:textId="77777777" w:rsidR="0029331F" w:rsidRPr="0029331F" w:rsidRDefault="0029331F" w:rsidP="0029331F">
      <w:pPr>
        <w:widowControl/>
        <w:numPr>
          <w:ilvl w:val="0"/>
          <w:numId w:val="45"/>
        </w:numPr>
        <w:ind w:left="567" w:hanging="567"/>
        <w:rPr>
          <w:rFonts w:cs="Arial"/>
          <w:lang w:bidi="ar-SA"/>
        </w:rPr>
      </w:pPr>
      <w:proofErr w:type="gramStart"/>
      <w:r w:rsidRPr="0029331F">
        <w:rPr>
          <w:rFonts w:cs="Arial"/>
          <w:lang w:bidi="ar-SA"/>
        </w:rPr>
        <w:t>no</w:t>
      </w:r>
      <w:proofErr w:type="gramEnd"/>
      <w:r w:rsidRPr="0029331F">
        <w:rPr>
          <w:rFonts w:cs="Arial"/>
          <w:lang w:bidi="ar-SA"/>
        </w:rPr>
        <w:t xml:space="preserve"> nutrition, health or related claims are to be made in regard to the substance.</w:t>
      </w:r>
    </w:p>
    <w:p w14:paraId="60941544" w14:textId="77777777" w:rsidR="0029331F" w:rsidRPr="0029331F" w:rsidRDefault="0029331F" w:rsidP="0029331F"/>
    <w:p w14:paraId="0E9079B5" w14:textId="4A3483D8" w:rsidR="00FB643C" w:rsidRPr="006E42F5" w:rsidRDefault="00FB643C" w:rsidP="00FB643C">
      <w:r w:rsidRPr="006E42F5">
        <w:t xml:space="preserve">FSANZ has determined that permitting the use of the enzyme </w:t>
      </w:r>
      <w:r>
        <w:rPr>
          <w:szCs w:val="22"/>
        </w:rPr>
        <w:t>triacylglycerol lipase</w:t>
      </w:r>
      <w:r w:rsidRPr="006E42F5">
        <w:rPr>
          <w:szCs w:val="22"/>
        </w:rPr>
        <w:t xml:space="preserve"> sourced from </w:t>
      </w:r>
      <w:r>
        <w:rPr>
          <w:i/>
          <w:szCs w:val="22"/>
        </w:rPr>
        <w:t xml:space="preserve">C. </w:t>
      </w:r>
      <w:proofErr w:type="spellStart"/>
      <w:r>
        <w:rPr>
          <w:i/>
          <w:szCs w:val="22"/>
        </w:rPr>
        <w:t>cylindracea</w:t>
      </w:r>
      <w:proofErr w:type="spellEnd"/>
      <w:r w:rsidRPr="006E42F5">
        <w:rPr>
          <w:szCs w:val="22"/>
        </w:rPr>
        <w:t xml:space="preserve"> </w:t>
      </w:r>
      <w:r w:rsidRPr="006E42F5">
        <w:t>as a processing aid is consistent with the specific order principles for ‘Technological Function’.</w:t>
      </w:r>
    </w:p>
    <w:p w14:paraId="4C045183" w14:textId="77777777" w:rsidR="0029331F" w:rsidRPr="002C1A3B" w:rsidRDefault="0029331F" w:rsidP="002C1A3B">
      <w:pPr>
        <w:rPr>
          <w:lang w:bidi="ar-SA"/>
        </w:rPr>
      </w:pPr>
    </w:p>
    <w:p w14:paraId="547A95A3" w14:textId="77777777" w:rsidR="001122EC" w:rsidRPr="0029331F" w:rsidRDefault="002C1A3B" w:rsidP="001122EC">
      <w:pPr>
        <w:pStyle w:val="Heading1"/>
      </w:pPr>
      <w:bookmarkStart w:id="114" w:name="_Toc494789968"/>
      <w:bookmarkStart w:id="115" w:name="_Toc11735643"/>
      <w:bookmarkStart w:id="116" w:name="_Toc29883130"/>
      <w:bookmarkStart w:id="117" w:name="_Toc41906817"/>
      <w:bookmarkStart w:id="118" w:name="_Toc41907564"/>
      <w:bookmarkStart w:id="119" w:name="_Toc43112360"/>
      <w:bookmarkEnd w:id="84"/>
      <w:r w:rsidRPr="0029331F">
        <w:t>6</w:t>
      </w:r>
      <w:r w:rsidR="001122EC" w:rsidRPr="0029331F">
        <w:tab/>
        <w:t>R</w:t>
      </w:r>
      <w:r w:rsidR="000B427A" w:rsidRPr="0029331F">
        <w:t>eferences</w:t>
      </w:r>
      <w:bookmarkEnd w:id="114"/>
    </w:p>
    <w:p w14:paraId="0A4C93B5" w14:textId="77777777" w:rsidR="00015712" w:rsidRPr="00015712" w:rsidRDefault="00015712" w:rsidP="00015712">
      <w:pPr>
        <w:tabs>
          <w:tab w:val="left" w:pos="0"/>
        </w:tabs>
        <w:rPr>
          <w:rFonts w:cs="Arial"/>
          <w:noProof/>
          <w:sz w:val="20"/>
        </w:rPr>
      </w:pPr>
      <w:r w:rsidRPr="00015712">
        <w:rPr>
          <w:rFonts w:cs="Arial"/>
          <w:noProof/>
          <w:sz w:val="20"/>
        </w:rPr>
        <w:t>Food Chemicals Codex 9</w:t>
      </w:r>
      <w:r w:rsidRPr="00015712">
        <w:rPr>
          <w:rFonts w:cs="Arial"/>
          <w:noProof/>
          <w:sz w:val="20"/>
          <w:vertAlign w:val="superscript"/>
        </w:rPr>
        <w:t>th</w:t>
      </w:r>
      <w:r w:rsidRPr="00015712">
        <w:rPr>
          <w:rFonts w:cs="Arial"/>
          <w:noProof/>
          <w:sz w:val="20"/>
        </w:rPr>
        <w:t xml:space="preserve"> Edition (2014), The United States Pharmacopeia, United States Pharmacopeial Convention, Rockville, MD.</w:t>
      </w:r>
    </w:p>
    <w:p w14:paraId="36CB45EB" w14:textId="77777777" w:rsidR="00015712" w:rsidRPr="00015712" w:rsidRDefault="00935EF8" w:rsidP="00015712">
      <w:pPr>
        <w:tabs>
          <w:tab w:val="left" w:pos="0"/>
        </w:tabs>
        <w:rPr>
          <w:rFonts w:cs="Arial"/>
          <w:noProof/>
          <w:sz w:val="20"/>
        </w:rPr>
      </w:pPr>
      <w:hyperlink r:id="rId21" w:history="1">
        <w:r w:rsidR="00015712" w:rsidRPr="00015712">
          <w:rPr>
            <w:rFonts w:cs="Arial"/>
            <w:noProof/>
            <w:color w:val="3333FF"/>
            <w:sz w:val="20"/>
            <w:u w:val="single"/>
          </w:rPr>
          <w:t>http://www.usp.org/food-ingredients/food-chemicals-codex</w:t>
        </w:r>
      </w:hyperlink>
    </w:p>
    <w:p w14:paraId="2F4626EF" w14:textId="77777777" w:rsidR="00015712" w:rsidRPr="00015712" w:rsidRDefault="00015712" w:rsidP="00015712">
      <w:pPr>
        <w:tabs>
          <w:tab w:val="left" w:pos="0"/>
        </w:tabs>
        <w:rPr>
          <w:rFonts w:cs="Arial"/>
          <w:noProof/>
          <w:sz w:val="20"/>
        </w:rPr>
      </w:pPr>
    </w:p>
    <w:p w14:paraId="31505B25" w14:textId="77777777" w:rsidR="00015712" w:rsidRPr="00015712" w:rsidRDefault="00015712" w:rsidP="00015712">
      <w:pPr>
        <w:tabs>
          <w:tab w:val="left" w:pos="0"/>
        </w:tabs>
        <w:rPr>
          <w:rFonts w:cs="Arial"/>
          <w:noProof/>
          <w:sz w:val="20"/>
        </w:rPr>
      </w:pPr>
      <w:r w:rsidRPr="00015712">
        <w:rPr>
          <w:rFonts w:cs="Arial"/>
          <w:noProof/>
          <w:sz w:val="20"/>
        </w:rPr>
        <w:t xml:space="preserve">International Union of Biochemistry and Molecular Biology (IUBMB) Enzyme Nomeclature for EC 3.1.1.3 located at </w:t>
      </w:r>
      <w:hyperlink r:id="rId22" w:history="1">
        <w:r w:rsidRPr="00015712">
          <w:rPr>
            <w:rFonts w:cs="Arial"/>
            <w:noProof/>
            <w:color w:val="3333FF"/>
            <w:sz w:val="20"/>
            <w:u w:val="single"/>
          </w:rPr>
          <w:t>http://www.chem.qmul.ac.uk/iubmb/enzyme/EC3/1/1/3.html</w:t>
        </w:r>
      </w:hyperlink>
      <w:r w:rsidRPr="00015712">
        <w:rPr>
          <w:rFonts w:cs="Arial"/>
          <w:noProof/>
          <w:sz w:val="20"/>
        </w:rPr>
        <w:t xml:space="preserve"> Assessed 6 April 2017</w:t>
      </w:r>
    </w:p>
    <w:p w14:paraId="72C55662" w14:textId="77777777" w:rsidR="00015712" w:rsidRPr="00015712" w:rsidRDefault="00015712" w:rsidP="00015712">
      <w:pPr>
        <w:tabs>
          <w:tab w:val="left" w:pos="0"/>
        </w:tabs>
        <w:rPr>
          <w:rFonts w:cs="Arial"/>
          <w:noProof/>
          <w:sz w:val="20"/>
        </w:rPr>
      </w:pPr>
    </w:p>
    <w:p w14:paraId="178FD36F" w14:textId="77777777" w:rsidR="00015712" w:rsidRPr="00015712" w:rsidRDefault="00015712" w:rsidP="00015712">
      <w:pPr>
        <w:tabs>
          <w:tab w:val="left" w:pos="0"/>
        </w:tabs>
        <w:rPr>
          <w:rFonts w:cs="Arial"/>
          <w:noProof/>
          <w:sz w:val="20"/>
        </w:rPr>
      </w:pPr>
      <w:r w:rsidRPr="00015712">
        <w:rPr>
          <w:rFonts w:cs="Arial"/>
          <w:noProof/>
          <w:sz w:val="20"/>
        </w:rPr>
        <w:t xml:space="preserve">JECFA (2006) General specifications and considerations for enzyme preparations used in food processing. </w:t>
      </w:r>
      <w:hyperlink r:id="rId23" w:history="1">
        <w:r w:rsidRPr="00015712">
          <w:rPr>
            <w:rFonts w:cs="Arial"/>
            <w:noProof/>
            <w:color w:val="3333FF"/>
            <w:sz w:val="20"/>
            <w:u w:val="single"/>
          </w:rPr>
          <w:t>http://www.fao.org/docrep/009/a0691e/A0691E03.htm</w:t>
        </w:r>
      </w:hyperlink>
    </w:p>
    <w:p w14:paraId="009FE489" w14:textId="77777777" w:rsidR="0012388D" w:rsidRDefault="00D15A08" w:rsidP="006C22A7">
      <w:pPr>
        <w:spacing w:before="240"/>
        <w:rPr>
          <w:b/>
          <w:sz w:val="28"/>
          <w:szCs w:val="28"/>
        </w:rPr>
      </w:pPr>
      <w:r w:rsidRPr="006C22A7">
        <w:rPr>
          <w:b/>
          <w:sz w:val="28"/>
          <w:szCs w:val="28"/>
        </w:rPr>
        <w:t>A</w:t>
      </w:r>
      <w:bookmarkEnd w:id="115"/>
      <w:bookmarkEnd w:id="116"/>
      <w:bookmarkEnd w:id="117"/>
      <w:bookmarkEnd w:id="118"/>
      <w:bookmarkEnd w:id="119"/>
      <w:r w:rsidR="00B21055">
        <w:rPr>
          <w:b/>
          <w:sz w:val="28"/>
          <w:szCs w:val="28"/>
        </w:rPr>
        <w:t>ttachments</w:t>
      </w:r>
    </w:p>
    <w:p w14:paraId="110F15D8" w14:textId="77777777" w:rsidR="006C22A7" w:rsidRDefault="006C22A7" w:rsidP="00755F02"/>
    <w:p w14:paraId="0AC5AA2F" w14:textId="3D6DA94E"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5C1E7A38"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30BBDD28" w14:textId="30A62038" w:rsidR="00456BD5" w:rsidRPr="00456BD5" w:rsidRDefault="003C4969" w:rsidP="00456BD5">
      <w:pPr>
        <w:pStyle w:val="Heading2"/>
        <w:ind w:left="0" w:firstLine="0"/>
      </w:pPr>
      <w:r w:rsidRPr="00932F14">
        <w:br w:type="page"/>
      </w:r>
      <w:bookmarkStart w:id="120" w:name="_Toc29883131"/>
      <w:bookmarkStart w:id="121" w:name="_Toc41906818"/>
      <w:bookmarkStart w:id="122" w:name="_Toc41907565"/>
      <w:bookmarkStart w:id="123" w:name="_Toc120358596"/>
      <w:bookmarkStart w:id="124" w:name="_Toc175381458"/>
      <w:bookmarkStart w:id="125" w:name="_Toc11735644"/>
      <w:bookmarkStart w:id="126" w:name="_Toc494789969"/>
      <w:r w:rsidRPr="00932F14">
        <w:t xml:space="preserve">Attachment </w:t>
      </w:r>
      <w:bookmarkEnd w:id="120"/>
      <w:bookmarkEnd w:id="121"/>
      <w:bookmarkEnd w:id="122"/>
      <w:bookmarkEnd w:id="123"/>
      <w:bookmarkEnd w:id="124"/>
      <w:r w:rsidR="00456B54">
        <w:t>A</w:t>
      </w:r>
      <w:bookmarkStart w:id="127" w:name="_Toc120358597"/>
      <w:bookmarkStart w:id="128" w:name="_Toc175381459"/>
      <w:bookmarkEnd w:id="125"/>
      <w:r w:rsidR="00755F02">
        <w:t xml:space="preserve"> –</w:t>
      </w:r>
      <w:bookmarkStart w:id="129" w:name="_Toc120358598"/>
      <w:bookmarkStart w:id="130" w:name="_Toc175381460"/>
      <w:bookmarkEnd w:id="127"/>
      <w:bookmarkEnd w:id="128"/>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6"/>
      <w:r w:rsidR="00456BD5">
        <w:rPr>
          <w:i/>
        </w:rPr>
        <w:t xml:space="preserve"> </w:t>
      </w:r>
    </w:p>
    <w:p w14:paraId="70EE0A6F" w14:textId="77777777" w:rsidR="00F93431" w:rsidRPr="00F93431" w:rsidRDefault="00F93431" w:rsidP="00F93431">
      <w:pPr>
        <w:tabs>
          <w:tab w:val="left" w:pos="851"/>
        </w:tabs>
        <w:rPr>
          <w:noProof/>
          <w:sz w:val="20"/>
          <w:szCs w:val="20"/>
          <w:lang w:val="en-AU" w:eastAsia="en-AU" w:bidi="ar-SA"/>
        </w:rPr>
      </w:pPr>
      <w:r w:rsidRPr="00F93431">
        <w:rPr>
          <w:noProof/>
          <w:sz w:val="20"/>
          <w:szCs w:val="20"/>
          <w:lang w:eastAsia="en-GB" w:bidi="ar-SA"/>
        </w:rPr>
        <w:drawing>
          <wp:inline distT="0" distB="0" distL="0" distR="0" wp14:anchorId="31D126EF" wp14:editId="3FCF76D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7133C82" w14:textId="77777777" w:rsidR="00F93431" w:rsidRPr="00F93431" w:rsidRDefault="00F93431" w:rsidP="00F93431">
      <w:pPr>
        <w:pBdr>
          <w:bottom w:val="single" w:sz="4" w:space="1" w:color="auto"/>
        </w:pBdr>
        <w:tabs>
          <w:tab w:val="left" w:pos="851"/>
        </w:tabs>
        <w:rPr>
          <w:b/>
          <w:bCs/>
          <w:szCs w:val="20"/>
          <w:lang w:bidi="ar-SA"/>
        </w:rPr>
      </w:pPr>
    </w:p>
    <w:p w14:paraId="38052E8E" w14:textId="77777777" w:rsidR="00F93431" w:rsidRPr="00F93431" w:rsidRDefault="00F93431" w:rsidP="00F93431">
      <w:pPr>
        <w:pBdr>
          <w:bottom w:val="single" w:sz="4" w:space="1" w:color="auto"/>
        </w:pBdr>
        <w:tabs>
          <w:tab w:val="left" w:pos="851"/>
        </w:tabs>
        <w:rPr>
          <w:b/>
          <w:sz w:val="20"/>
          <w:szCs w:val="20"/>
          <w:lang w:bidi="ar-SA"/>
        </w:rPr>
      </w:pPr>
      <w:r w:rsidRPr="00F93431">
        <w:rPr>
          <w:b/>
          <w:sz w:val="20"/>
          <w:szCs w:val="20"/>
          <w:lang w:bidi="ar-SA"/>
        </w:rPr>
        <w:t>Food Standards (Application A1130 – T</w:t>
      </w:r>
      <w:proofErr w:type="spellStart"/>
      <w:r w:rsidRPr="00F93431">
        <w:rPr>
          <w:b/>
          <w:sz w:val="20"/>
          <w:szCs w:val="20"/>
          <w:lang w:val="en-AU" w:bidi="ar-SA"/>
        </w:rPr>
        <w:t>riacylglycerol</w:t>
      </w:r>
      <w:proofErr w:type="spellEnd"/>
      <w:r w:rsidRPr="00F93431">
        <w:rPr>
          <w:b/>
          <w:sz w:val="20"/>
          <w:szCs w:val="20"/>
          <w:lang w:val="en-AU" w:bidi="ar-SA"/>
        </w:rPr>
        <w:t xml:space="preserve"> Lipase as a Processing Aid (Enzyme))</w:t>
      </w:r>
      <w:r w:rsidRPr="00F93431">
        <w:rPr>
          <w:b/>
          <w:sz w:val="20"/>
          <w:szCs w:val="20"/>
          <w:lang w:bidi="ar-SA"/>
        </w:rPr>
        <w:t xml:space="preserve"> Variation</w:t>
      </w:r>
    </w:p>
    <w:p w14:paraId="39D7C3A5" w14:textId="77777777" w:rsidR="00F93431" w:rsidRPr="00F93431" w:rsidRDefault="00F93431" w:rsidP="00F93431">
      <w:pPr>
        <w:pBdr>
          <w:bottom w:val="single" w:sz="4" w:space="1" w:color="auto"/>
        </w:pBdr>
        <w:tabs>
          <w:tab w:val="left" w:pos="851"/>
        </w:tabs>
        <w:rPr>
          <w:b/>
          <w:sz w:val="20"/>
          <w:szCs w:val="20"/>
          <w:lang w:bidi="ar-SA"/>
        </w:rPr>
      </w:pPr>
    </w:p>
    <w:p w14:paraId="2579646A" w14:textId="77777777" w:rsidR="00F93431" w:rsidRPr="00F93431" w:rsidRDefault="00F93431" w:rsidP="00F93431">
      <w:pPr>
        <w:tabs>
          <w:tab w:val="left" w:pos="851"/>
        </w:tabs>
        <w:rPr>
          <w:sz w:val="20"/>
          <w:szCs w:val="20"/>
          <w:lang w:bidi="ar-SA"/>
        </w:rPr>
      </w:pPr>
    </w:p>
    <w:p w14:paraId="3D0DF752" w14:textId="77777777" w:rsidR="00F93431" w:rsidRPr="00F93431" w:rsidRDefault="00F93431" w:rsidP="00F93431">
      <w:pPr>
        <w:tabs>
          <w:tab w:val="left" w:pos="851"/>
        </w:tabs>
        <w:rPr>
          <w:sz w:val="20"/>
          <w:szCs w:val="20"/>
          <w:lang w:bidi="ar-SA"/>
        </w:rPr>
      </w:pPr>
      <w:r w:rsidRPr="00F93431">
        <w:rPr>
          <w:sz w:val="20"/>
          <w:szCs w:val="20"/>
          <w:lang w:bidi="ar-SA"/>
        </w:rPr>
        <w:t xml:space="preserve">The Board of Food Standards Australia New Zealand gives notice of the making of this variation under section 92 of the </w:t>
      </w:r>
      <w:r w:rsidRPr="00F93431">
        <w:rPr>
          <w:i/>
          <w:sz w:val="20"/>
          <w:szCs w:val="20"/>
          <w:lang w:bidi="ar-SA"/>
        </w:rPr>
        <w:t>Food Standards Australia New Zealand Act 1991</w:t>
      </w:r>
      <w:r w:rsidRPr="00F93431">
        <w:rPr>
          <w:sz w:val="20"/>
          <w:szCs w:val="20"/>
          <w:lang w:bidi="ar-SA"/>
        </w:rPr>
        <w:t>.  The variation commences on the date specified in clause 3 of this variation.</w:t>
      </w:r>
    </w:p>
    <w:p w14:paraId="5BD5E333" w14:textId="77777777" w:rsidR="00F93431" w:rsidRPr="00F93431" w:rsidRDefault="00F93431" w:rsidP="00F93431">
      <w:pPr>
        <w:tabs>
          <w:tab w:val="left" w:pos="851"/>
        </w:tabs>
        <w:rPr>
          <w:sz w:val="20"/>
          <w:szCs w:val="20"/>
          <w:lang w:bidi="ar-SA"/>
        </w:rPr>
      </w:pPr>
    </w:p>
    <w:p w14:paraId="3779F046" w14:textId="77777777" w:rsidR="00F93431" w:rsidRPr="00F93431" w:rsidRDefault="00F93431" w:rsidP="00F93431">
      <w:pPr>
        <w:tabs>
          <w:tab w:val="left" w:pos="851"/>
        </w:tabs>
        <w:rPr>
          <w:sz w:val="20"/>
          <w:szCs w:val="20"/>
          <w:lang w:bidi="ar-SA"/>
        </w:rPr>
      </w:pPr>
      <w:r w:rsidRPr="00F93431">
        <w:rPr>
          <w:sz w:val="20"/>
          <w:szCs w:val="20"/>
          <w:lang w:bidi="ar-SA"/>
        </w:rPr>
        <w:t>Dated [To be completed by Standards Management Officer]</w:t>
      </w:r>
    </w:p>
    <w:p w14:paraId="5C03719D" w14:textId="77777777" w:rsidR="00F93431" w:rsidRPr="00F93431" w:rsidRDefault="00F93431" w:rsidP="00F93431">
      <w:pPr>
        <w:tabs>
          <w:tab w:val="left" w:pos="851"/>
        </w:tabs>
        <w:rPr>
          <w:sz w:val="20"/>
          <w:szCs w:val="20"/>
          <w:lang w:bidi="ar-SA"/>
        </w:rPr>
      </w:pPr>
    </w:p>
    <w:p w14:paraId="0B2A791E" w14:textId="77777777" w:rsidR="00F93431" w:rsidRPr="00F93431" w:rsidRDefault="00F93431" w:rsidP="00F93431">
      <w:pPr>
        <w:tabs>
          <w:tab w:val="left" w:pos="851"/>
        </w:tabs>
        <w:rPr>
          <w:sz w:val="20"/>
          <w:szCs w:val="20"/>
          <w:lang w:bidi="ar-SA"/>
        </w:rPr>
      </w:pPr>
    </w:p>
    <w:p w14:paraId="777528A5" w14:textId="77777777" w:rsidR="00F93431" w:rsidRPr="00F93431" w:rsidRDefault="00F93431" w:rsidP="00F93431">
      <w:pPr>
        <w:tabs>
          <w:tab w:val="left" w:pos="851"/>
        </w:tabs>
        <w:rPr>
          <w:sz w:val="20"/>
          <w:szCs w:val="20"/>
          <w:lang w:bidi="ar-SA"/>
        </w:rPr>
      </w:pPr>
    </w:p>
    <w:p w14:paraId="64A53D59" w14:textId="77777777" w:rsidR="00F93431" w:rsidRPr="00F93431" w:rsidRDefault="00F93431" w:rsidP="00F93431">
      <w:pPr>
        <w:tabs>
          <w:tab w:val="left" w:pos="851"/>
        </w:tabs>
        <w:rPr>
          <w:sz w:val="20"/>
          <w:szCs w:val="20"/>
          <w:lang w:bidi="ar-SA"/>
        </w:rPr>
      </w:pPr>
    </w:p>
    <w:p w14:paraId="322F5F77" w14:textId="77777777" w:rsidR="00F93431" w:rsidRPr="00F93431" w:rsidRDefault="00F93431" w:rsidP="00F93431">
      <w:pPr>
        <w:tabs>
          <w:tab w:val="left" w:pos="851"/>
        </w:tabs>
        <w:rPr>
          <w:sz w:val="20"/>
          <w:szCs w:val="20"/>
          <w:lang w:bidi="ar-SA"/>
        </w:rPr>
      </w:pPr>
    </w:p>
    <w:p w14:paraId="5E6E33CB" w14:textId="77777777" w:rsidR="00F93431" w:rsidRPr="00F93431" w:rsidRDefault="00F93431" w:rsidP="00F93431">
      <w:pPr>
        <w:tabs>
          <w:tab w:val="left" w:pos="851"/>
        </w:tabs>
        <w:rPr>
          <w:sz w:val="20"/>
          <w:szCs w:val="20"/>
          <w:lang w:bidi="ar-SA"/>
        </w:rPr>
      </w:pPr>
      <w:r w:rsidRPr="00F93431">
        <w:rPr>
          <w:sz w:val="20"/>
          <w:szCs w:val="20"/>
          <w:lang w:bidi="ar-SA"/>
        </w:rPr>
        <w:t>Standards Management Officer</w:t>
      </w:r>
    </w:p>
    <w:p w14:paraId="44C5CB3D" w14:textId="77777777" w:rsidR="00F93431" w:rsidRPr="00F93431" w:rsidRDefault="00F93431" w:rsidP="00F93431">
      <w:pPr>
        <w:tabs>
          <w:tab w:val="left" w:pos="851"/>
        </w:tabs>
        <w:rPr>
          <w:sz w:val="20"/>
          <w:szCs w:val="20"/>
          <w:lang w:bidi="ar-SA"/>
        </w:rPr>
      </w:pPr>
      <w:r w:rsidRPr="00F93431">
        <w:rPr>
          <w:sz w:val="20"/>
          <w:szCs w:val="20"/>
          <w:lang w:bidi="ar-SA"/>
        </w:rPr>
        <w:t>Delegate of the Board of Food Standards Australia New Zealand</w:t>
      </w:r>
    </w:p>
    <w:p w14:paraId="7312AA7D" w14:textId="77777777" w:rsidR="00F93431" w:rsidRPr="00F93431" w:rsidRDefault="00F93431" w:rsidP="00F93431">
      <w:pPr>
        <w:tabs>
          <w:tab w:val="left" w:pos="851"/>
        </w:tabs>
        <w:rPr>
          <w:sz w:val="20"/>
          <w:szCs w:val="20"/>
          <w:lang w:bidi="ar-SA"/>
        </w:rPr>
      </w:pPr>
    </w:p>
    <w:p w14:paraId="2E237A9E" w14:textId="77777777" w:rsidR="00F93431" w:rsidRPr="00F93431" w:rsidRDefault="00F93431" w:rsidP="00F93431">
      <w:pPr>
        <w:tabs>
          <w:tab w:val="left" w:pos="851"/>
        </w:tabs>
        <w:rPr>
          <w:sz w:val="20"/>
          <w:szCs w:val="20"/>
          <w:lang w:bidi="ar-SA"/>
        </w:rPr>
      </w:pPr>
    </w:p>
    <w:p w14:paraId="2223C6F5" w14:textId="77777777" w:rsidR="00F93431" w:rsidRPr="00F93431" w:rsidRDefault="00F93431" w:rsidP="00F93431">
      <w:pPr>
        <w:tabs>
          <w:tab w:val="left" w:pos="851"/>
        </w:tabs>
        <w:rPr>
          <w:sz w:val="20"/>
          <w:szCs w:val="20"/>
          <w:lang w:bidi="ar-SA"/>
        </w:rPr>
      </w:pPr>
    </w:p>
    <w:p w14:paraId="51946A63" w14:textId="77777777" w:rsidR="00F93431" w:rsidRPr="00F93431" w:rsidRDefault="00F93431" w:rsidP="00F93431">
      <w:pPr>
        <w:tabs>
          <w:tab w:val="left" w:pos="851"/>
        </w:tabs>
        <w:rPr>
          <w:sz w:val="20"/>
          <w:szCs w:val="20"/>
          <w:lang w:bidi="ar-SA"/>
        </w:rPr>
      </w:pPr>
    </w:p>
    <w:p w14:paraId="45C23972" w14:textId="77777777" w:rsidR="00F93431" w:rsidRPr="00F93431" w:rsidRDefault="00F93431" w:rsidP="00F93431">
      <w:pPr>
        <w:tabs>
          <w:tab w:val="left" w:pos="851"/>
        </w:tabs>
        <w:rPr>
          <w:sz w:val="20"/>
          <w:szCs w:val="20"/>
          <w:lang w:bidi="ar-SA"/>
        </w:rPr>
      </w:pPr>
    </w:p>
    <w:p w14:paraId="4722B051" w14:textId="77777777" w:rsidR="00F93431" w:rsidRPr="00F93431" w:rsidRDefault="00F93431" w:rsidP="00F93431">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F93431">
        <w:rPr>
          <w:b/>
          <w:sz w:val="20"/>
          <w:szCs w:val="20"/>
          <w:lang w:val="en-AU" w:bidi="ar-SA"/>
        </w:rPr>
        <w:t xml:space="preserve">Note:  </w:t>
      </w:r>
    </w:p>
    <w:p w14:paraId="18D2EE77" w14:textId="77777777" w:rsidR="00F93431" w:rsidRPr="00F93431" w:rsidRDefault="00F93431" w:rsidP="00F93431">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F13194E" w14:textId="77777777" w:rsidR="00F93431" w:rsidRPr="00F93431" w:rsidRDefault="00F93431" w:rsidP="00F93431">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F93431">
        <w:rPr>
          <w:sz w:val="20"/>
          <w:szCs w:val="20"/>
          <w:lang w:val="en-AU" w:bidi="ar-SA"/>
        </w:rPr>
        <w:t xml:space="preserve">This variation will be published in the Commonwealth of Australia Gazette No. </w:t>
      </w:r>
      <w:proofErr w:type="gramStart"/>
      <w:r w:rsidRPr="00F93431">
        <w:rPr>
          <w:sz w:val="20"/>
          <w:szCs w:val="20"/>
          <w:lang w:val="en-AU" w:bidi="ar-SA"/>
        </w:rPr>
        <w:t xml:space="preserve">FSC </w:t>
      </w:r>
      <w:r w:rsidRPr="00F93431">
        <w:rPr>
          <w:color w:val="FF0000"/>
          <w:sz w:val="20"/>
          <w:szCs w:val="20"/>
          <w:lang w:val="en-AU" w:bidi="ar-SA"/>
        </w:rPr>
        <w:t>XX on XX Month 20XX</w:t>
      </w:r>
      <w:r w:rsidRPr="00F93431">
        <w:rPr>
          <w:sz w:val="20"/>
          <w:szCs w:val="20"/>
          <w:lang w:val="en-AU" w:bidi="ar-SA"/>
        </w:rPr>
        <w:t>.</w:t>
      </w:r>
      <w:proofErr w:type="gramEnd"/>
      <w:r w:rsidRPr="00F93431">
        <w:rPr>
          <w:sz w:val="20"/>
          <w:szCs w:val="20"/>
          <w:lang w:val="en-AU" w:bidi="ar-SA"/>
        </w:rPr>
        <w:t xml:space="preserve"> This means that this date is the gazettal date for the purposes of clause 3 of the variation. </w:t>
      </w:r>
    </w:p>
    <w:p w14:paraId="4ABEA984" w14:textId="77777777" w:rsidR="00F93431" w:rsidRPr="00F93431" w:rsidRDefault="00F93431" w:rsidP="00F93431">
      <w:pPr>
        <w:tabs>
          <w:tab w:val="left" w:pos="851"/>
        </w:tabs>
        <w:rPr>
          <w:sz w:val="20"/>
          <w:szCs w:val="20"/>
          <w:lang w:bidi="ar-SA"/>
        </w:rPr>
      </w:pPr>
    </w:p>
    <w:p w14:paraId="0F7A0140" w14:textId="77777777" w:rsidR="00F93431" w:rsidRPr="00F93431" w:rsidRDefault="00F93431" w:rsidP="00F93431">
      <w:pPr>
        <w:widowControl/>
        <w:rPr>
          <w:sz w:val="20"/>
          <w:szCs w:val="20"/>
          <w:lang w:bidi="ar-SA"/>
        </w:rPr>
      </w:pPr>
      <w:r w:rsidRPr="00F93431">
        <w:rPr>
          <w:sz w:val="20"/>
          <w:szCs w:val="20"/>
          <w:lang w:bidi="ar-SA"/>
        </w:rPr>
        <w:br w:type="page"/>
      </w:r>
    </w:p>
    <w:p w14:paraId="568EB4FD" w14:textId="77777777" w:rsidR="00F93431" w:rsidRPr="00F93431" w:rsidRDefault="00F93431" w:rsidP="00F93431">
      <w:pPr>
        <w:spacing w:before="120" w:after="120"/>
        <w:ind w:left="851" w:hanging="851"/>
        <w:rPr>
          <w:b/>
          <w:sz w:val="20"/>
          <w:szCs w:val="20"/>
          <w:lang w:bidi="ar-SA"/>
        </w:rPr>
      </w:pPr>
      <w:r w:rsidRPr="00F93431">
        <w:rPr>
          <w:b/>
          <w:sz w:val="20"/>
          <w:szCs w:val="20"/>
          <w:lang w:bidi="ar-SA"/>
        </w:rPr>
        <w:t>1</w:t>
      </w:r>
      <w:r w:rsidRPr="00F93431">
        <w:rPr>
          <w:b/>
          <w:sz w:val="20"/>
          <w:szCs w:val="20"/>
          <w:lang w:bidi="ar-SA"/>
        </w:rPr>
        <w:tab/>
        <w:t>Name</w:t>
      </w:r>
    </w:p>
    <w:p w14:paraId="3BC2255A" w14:textId="77777777" w:rsidR="00F93431" w:rsidRPr="00F93431" w:rsidRDefault="00F93431" w:rsidP="00F93431">
      <w:pPr>
        <w:widowControl/>
        <w:tabs>
          <w:tab w:val="left" w:pos="851"/>
        </w:tabs>
        <w:spacing w:before="120" w:after="120"/>
        <w:rPr>
          <w:sz w:val="20"/>
          <w:szCs w:val="20"/>
          <w:lang w:bidi="ar-SA"/>
        </w:rPr>
      </w:pPr>
      <w:r w:rsidRPr="00F93431">
        <w:rPr>
          <w:sz w:val="20"/>
          <w:szCs w:val="20"/>
          <w:lang w:bidi="ar-SA"/>
        </w:rPr>
        <w:t xml:space="preserve">This instrument is the </w:t>
      </w:r>
      <w:r w:rsidRPr="00F93431">
        <w:rPr>
          <w:i/>
          <w:sz w:val="20"/>
          <w:szCs w:val="20"/>
          <w:lang w:bidi="ar-SA"/>
        </w:rPr>
        <w:t>Food Standards (Application A1130 – T</w:t>
      </w:r>
      <w:proofErr w:type="spellStart"/>
      <w:r w:rsidRPr="00F93431">
        <w:rPr>
          <w:i/>
          <w:sz w:val="20"/>
          <w:szCs w:val="20"/>
          <w:lang w:val="en-AU" w:bidi="ar-SA"/>
        </w:rPr>
        <w:t>riacylglycerol</w:t>
      </w:r>
      <w:proofErr w:type="spellEnd"/>
      <w:r w:rsidRPr="00F93431">
        <w:rPr>
          <w:i/>
          <w:sz w:val="20"/>
          <w:szCs w:val="20"/>
          <w:lang w:val="en-AU" w:bidi="ar-SA"/>
        </w:rPr>
        <w:t xml:space="preserve"> Lipase as a Processing Aid (Enzyme)) </w:t>
      </w:r>
      <w:r w:rsidRPr="00F93431">
        <w:rPr>
          <w:i/>
          <w:sz w:val="20"/>
          <w:szCs w:val="20"/>
          <w:lang w:bidi="ar-SA"/>
        </w:rPr>
        <w:t>Variation</w:t>
      </w:r>
      <w:r w:rsidRPr="00F93431">
        <w:rPr>
          <w:sz w:val="20"/>
          <w:szCs w:val="20"/>
          <w:lang w:bidi="ar-SA"/>
        </w:rPr>
        <w:t>.</w:t>
      </w:r>
    </w:p>
    <w:p w14:paraId="221FC690" w14:textId="77777777" w:rsidR="00F93431" w:rsidRPr="00F93431" w:rsidRDefault="00F93431" w:rsidP="00F93431">
      <w:pPr>
        <w:spacing w:before="120" w:after="120"/>
        <w:ind w:left="851" w:hanging="851"/>
        <w:rPr>
          <w:b/>
          <w:sz w:val="20"/>
          <w:szCs w:val="20"/>
          <w:lang w:bidi="ar-SA"/>
        </w:rPr>
      </w:pPr>
      <w:r w:rsidRPr="00F93431">
        <w:rPr>
          <w:b/>
          <w:sz w:val="20"/>
          <w:szCs w:val="20"/>
          <w:lang w:bidi="ar-SA"/>
        </w:rPr>
        <w:t>2</w:t>
      </w:r>
      <w:r w:rsidRPr="00F93431">
        <w:rPr>
          <w:b/>
          <w:sz w:val="20"/>
          <w:szCs w:val="20"/>
          <w:lang w:bidi="ar-SA"/>
        </w:rPr>
        <w:tab/>
        <w:t xml:space="preserve">Variation to a standard in the </w:t>
      </w:r>
      <w:r w:rsidRPr="00F93431">
        <w:rPr>
          <w:b/>
          <w:i/>
          <w:sz w:val="20"/>
          <w:szCs w:val="20"/>
          <w:lang w:bidi="ar-SA"/>
        </w:rPr>
        <w:t>Australia New Zealand Food Standards Code</w:t>
      </w:r>
    </w:p>
    <w:p w14:paraId="38114620" w14:textId="77777777" w:rsidR="00F93431" w:rsidRPr="00F93431" w:rsidRDefault="00F93431" w:rsidP="00F93431">
      <w:pPr>
        <w:widowControl/>
        <w:tabs>
          <w:tab w:val="left" w:pos="851"/>
        </w:tabs>
        <w:spacing w:before="120" w:after="120"/>
        <w:rPr>
          <w:sz w:val="20"/>
          <w:szCs w:val="20"/>
          <w:lang w:bidi="ar-SA"/>
        </w:rPr>
      </w:pPr>
      <w:r w:rsidRPr="00F93431">
        <w:rPr>
          <w:sz w:val="20"/>
          <w:szCs w:val="20"/>
          <w:lang w:bidi="ar-SA"/>
        </w:rPr>
        <w:t xml:space="preserve">The Schedule varies a Standard in the </w:t>
      </w:r>
      <w:r w:rsidRPr="00F93431">
        <w:rPr>
          <w:i/>
          <w:sz w:val="20"/>
          <w:szCs w:val="20"/>
          <w:lang w:bidi="ar-SA"/>
        </w:rPr>
        <w:t>Australia New Zealand Food Standards Code</w:t>
      </w:r>
      <w:r w:rsidRPr="00F93431">
        <w:rPr>
          <w:sz w:val="20"/>
          <w:szCs w:val="20"/>
          <w:lang w:bidi="ar-SA"/>
        </w:rPr>
        <w:t>.</w:t>
      </w:r>
    </w:p>
    <w:p w14:paraId="09BBFBDE" w14:textId="77777777" w:rsidR="00F93431" w:rsidRPr="00F93431" w:rsidRDefault="00F93431" w:rsidP="00F93431">
      <w:pPr>
        <w:spacing w:before="120" w:after="120"/>
        <w:ind w:left="851" w:hanging="851"/>
        <w:rPr>
          <w:b/>
          <w:sz w:val="20"/>
          <w:szCs w:val="20"/>
          <w:lang w:bidi="ar-SA"/>
        </w:rPr>
      </w:pPr>
      <w:r w:rsidRPr="00F93431">
        <w:rPr>
          <w:b/>
          <w:sz w:val="20"/>
          <w:szCs w:val="20"/>
          <w:lang w:bidi="ar-SA"/>
        </w:rPr>
        <w:t>3</w:t>
      </w:r>
      <w:r w:rsidRPr="00F93431">
        <w:rPr>
          <w:b/>
          <w:sz w:val="20"/>
          <w:szCs w:val="20"/>
          <w:lang w:bidi="ar-SA"/>
        </w:rPr>
        <w:tab/>
        <w:t>Commencement</w:t>
      </w:r>
    </w:p>
    <w:p w14:paraId="0BBA16A5" w14:textId="77777777" w:rsidR="00F93431" w:rsidRPr="00F93431" w:rsidRDefault="00F93431" w:rsidP="00F93431">
      <w:pPr>
        <w:widowControl/>
        <w:tabs>
          <w:tab w:val="left" w:pos="851"/>
        </w:tabs>
        <w:spacing w:before="120" w:after="120"/>
        <w:rPr>
          <w:sz w:val="20"/>
          <w:szCs w:val="20"/>
          <w:lang w:bidi="ar-SA"/>
        </w:rPr>
      </w:pPr>
      <w:r w:rsidRPr="00F93431">
        <w:rPr>
          <w:sz w:val="20"/>
          <w:szCs w:val="20"/>
          <w:lang w:bidi="ar-SA"/>
        </w:rPr>
        <w:t>The variation commences on the date of gazettal.</w:t>
      </w:r>
    </w:p>
    <w:p w14:paraId="7D0364BF" w14:textId="77777777" w:rsidR="00F93431" w:rsidRPr="00F93431" w:rsidRDefault="00F93431" w:rsidP="00F93431">
      <w:pPr>
        <w:tabs>
          <w:tab w:val="left" w:pos="851"/>
        </w:tabs>
        <w:jc w:val="center"/>
        <w:rPr>
          <w:b/>
          <w:sz w:val="20"/>
          <w:szCs w:val="20"/>
          <w:lang w:bidi="ar-SA"/>
        </w:rPr>
      </w:pPr>
      <w:r w:rsidRPr="00F93431">
        <w:rPr>
          <w:b/>
          <w:sz w:val="20"/>
          <w:szCs w:val="20"/>
          <w:lang w:bidi="ar-SA"/>
        </w:rPr>
        <w:t>Schedule</w:t>
      </w:r>
    </w:p>
    <w:p w14:paraId="063CE50F" w14:textId="77777777" w:rsidR="00F93431" w:rsidRPr="00F93431" w:rsidRDefault="00F93431" w:rsidP="00F93431">
      <w:pPr>
        <w:widowControl/>
        <w:tabs>
          <w:tab w:val="left" w:pos="851"/>
        </w:tabs>
        <w:spacing w:before="120" w:after="120"/>
        <w:rPr>
          <w:sz w:val="20"/>
          <w:szCs w:val="20"/>
          <w:lang w:bidi="ar-SA"/>
        </w:rPr>
      </w:pPr>
      <w:r w:rsidRPr="00F93431">
        <w:rPr>
          <w:b/>
          <w:sz w:val="20"/>
          <w:szCs w:val="20"/>
        </w:rPr>
        <w:t>[1]</w:t>
      </w:r>
      <w:r w:rsidRPr="00F93431">
        <w:rPr>
          <w:b/>
          <w:sz w:val="20"/>
          <w:szCs w:val="20"/>
        </w:rPr>
        <w:tab/>
      </w:r>
      <w:r w:rsidRPr="00F93431">
        <w:rPr>
          <w:b/>
          <w:sz w:val="20"/>
          <w:szCs w:val="20"/>
          <w:lang w:bidi="ar-SA"/>
        </w:rPr>
        <w:t>Schedule 18</w:t>
      </w:r>
      <w:r w:rsidRPr="00F93431">
        <w:rPr>
          <w:sz w:val="20"/>
          <w:szCs w:val="20"/>
          <w:lang w:bidi="ar-SA"/>
        </w:rPr>
        <w:t xml:space="preserve"> is varied by</w:t>
      </w:r>
      <w:r w:rsidRPr="00F93431">
        <w:rPr>
          <w:color w:val="FF0000"/>
          <w:sz w:val="20"/>
          <w:szCs w:val="20"/>
          <w:lang w:bidi="ar-SA"/>
        </w:rPr>
        <w:t xml:space="preserve"> </w:t>
      </w:r>
      <w:r w:rsidRPr="00F93431">
        <w:rPr>
          <w:sz w:val="20"/>
          <w:szCs w:val="20"/>
          <w:lang w:bidi="ar-SA"/>
        </w:rPr>
        <w:t>inserting in the table to subsection S18—9(3),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F93431" w:rsidRPr="00F93431" w14:paraId="21E20898" w14:textId="77777777" w:rsidTr="00867AF4">
        <w:trPr>
          <w:jc w:val="center"/>
        </w:trPr>
        <w:tc>
          <w:tcPr>
            <w:tcW w:w="3120" w:type="dxa"/>
          </w:tcPr>
          <w:p w14:paraId="692C12B0" w14:textId="77777777" w:rsidR="00F93431" w:rsidRPr="00F93431" w:rsidRDefault="00F93431" w:rsidP="00F93431">
            <w:pPr>
              <w:widowControl/>
              <w:rPr>
                <w:sz w:val="18"/>
                <w:szCs w:val="20"/>
                <w:lang w:eastAsia="en-AU" w:bidi="ar-SA"/>
              </w:rPr>
            </w:pPr>
            <w:r w:rsidRPr="00F93431">
              <w:rPr>
                <w:sz w:val="18"/>
                <w:szCs w:val="20"/>
                <w:lang w:eastAsia="en-AU" w:bidi="ar-SA"/>
              </w:rPr>
              <w:t xml:space="preserve">Lipase, triacylglycerol (EC 3.1.1.3) sourced from </w:t>
            </w:r>
            <w:r w:rsidRPr="00F93431">
              <w:rPr>
                <w:i/>
                <w:sz w:val="18"/>
                <w:szCs w:val="20"/>
                <w:lang w:eastAsia="en-AU" w:bidi="ar-SA"/>
              </w:rPr>
              <w:t xml:space="preserve">Candida </w:t>
            </w:r>
            <w:proofErr w:type="spellStart"/>
            <w:r w:rsidRPr="00F93431">
              <w:rPr>
                <w:i/>
                <w:sz w:val="18"/>
                <w:szCs w:val="20"/>
                <w:lang w:eastAsia="en-AU" w:bidi="ar-SA"/>
              </w:rPr>
              <w:t>cylindracea</w:t>
            </w:r>
            <w:proofErr w:type="spellEnd"/>
          </w:p>
        </w:tc>
        <w:tc>
          <w:tcPr>
            <w:tcW w:w="3603" w:type="dxa"/>
          </w:tcPr>
          <w:p w14:paraId="5AD5EA83" w14:textId="77777777" w:rsidR="00F93431" w:rsidRPr="00F93431" w:rsidRDefault="00F93431" w:rsidP="00F93431">
            <w:pPr>
              <w:widowControl/>
              <w:rPr>
                <w:sz w:val="18"/>
                <w:szCs w:val="20"/>
                <w:lang w:eastAsia="en-AU" w:bidi="ar-SA"/>
              </w:rPr>
            </w:pPr>
            <w:r w:rsidRPr="00F93431">
              <w:rPr>
                <w:sz w:val="18"/>
                <w:szCs w:val="20"/>
                <w:lang w:eastAsia="en-AU" w:bidi="ar-SA"/>
              </w:rPr>
              <w:t>For use in the manufacture of bakery products and dairy products and in the processing of fats and oils.</w:t>
            </w:r>
          </w:p>
        </w:tc>
        <w:tc>
          <w:tcPr>
            <w:tcW w:w="2349" w:type="dxa"/>
          </w:tcPr>
          <w:p w14:paraId="5B92981A" w14:textId="77777777" w:rsidR="00F93431" w:rsidRPr="00F93431" w:rsidRDefault="00F93431" w:rsidP="00F93431">
            <w:pPr>
              <w:widowControl/>
              <w:rPr>
                <w:sz w:val="18"/>
                <w:szCs w:val="20"/>
                <w:lang w:eastAsia="en-AU" w:bidi="ar-SA"/>
              </w:rPr>
            </w:pPr>
            <w:r w:rsidRPr="00F93431">
              <w:rPr>
                <w:sz w:val="18"/>
                <w:szCs w:val="20"/>
                <w:lang w:eastAsia="en-AU" w:bidi="ar-SA"/>
              </w:rPr>
              <w:t>GMP</w:t>
            </w:r>
          </w:p>
        </w:tc>
      </w:tr>
    </w:tbl>
    <w:p w14:paraId="77707F50" w14:textId="77777777" w:rsidR="00F93431" w:rsidRPr="00F93431" w:rsidRDefault="00F93431" w:rsidP="00F93431">
      <w:pPr>
        <w:widowControl/>
        <w:tabs>
          <w:tab w:val="left" w:pos="851"/>
        </w:tabs>
        <w:spacing w:before="120" w:after="120"/>
        <w:rPr>
          <w:sz w:val="20"/>
          <w:szCs w:val="20"/>
          <w:lang w:bidi="ar-SA"/>
        </w:rPr>
      </w:pPr>
    </w:p>
    <w:p w14:paraId="32201B14" w14:textId="77777777" w:rsidR="00456BD5" w:rsidRPr="00795D86" w:rsidRDefault="00456BD5" w:rsidP="00456BD5">
      <w:pPr>
        <w:rPr>
          <w:lang w:bidi="ar-SA"/>
        </w:rPr>
      </w:pPr>
    </w:p>
    <w:p w14:paraId="14BB960D" w14:textId="77777777" w:rsidR="00456BD5" w:rsidRDefault="00456BD5" w:rsidP="00456BD5">
      <w:pPr>
        <w:pStyle w:val="Heading2"/>
        <w:ind w:left="0" w:firstLine="0"/>
      </w:pPr>
      <w:r w:rsidRPr="00932F14">
        <w:br w:type="page"/>
      </w:r>
      <w:bookmarkStart w:id="131" w:name="_Toc494789970"/>
      <w:r w:rsidR="005E06C0" w:rsidRPr="00932F14">
        <w:t xml:space="preserve">Attachment </w:t>
      </w:r>
      <w:r w:rsidR="005E06C0">
        <w:t xml:space="preserve">B – </w:t>
      </w:r>
      <w:r>
        <w:t>Explanatory Statement</w:t>
      </w:r>
      <w:bookmarkEnd w:id="131"/>
    </w:p>
    <w:p w14:paraId="7B7824A5"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4B22C96C" w14:textId="77777777" w:rsidR="00456BD5" w:rsidRDefault="00456BD5" w:rsidP="00456BD5">
      <w:pPr>
        <w:rPr>
          <w:lang w:val="en-AU" w:eastAsia="en-GB" w:bidi="ar-SA"/>
        </w:rPr>
      </w:pPr>
    </w:p>
    <w:p w14:paraId="10961B44"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9A0A9D0" w14:textId="77777777" w:rsidR="00456BD5" w:rsidRPr="00D13E34" w:rsidRDefault="00456BD5" w:rsidP="00456BD5">
      <w:pPr>
        <w:widowControl/>
        <w:autoSpaceDE w:val="0"/>
        <w:autoSpaceDN w:val="0"/>
        <w:adjustRightInd w:val="0"/>
        <w:rPr>
          <w:rFonts w:eastAsia="Calibri" w:cs="Arial"/>
          <w:bCs/>
          <w:szCs w:val="22"/>
          <w:lang w:val="en-AU" w:bidi="ar-SA"/>
        </w:rPr>
      </w:pPr>
    </w:p>
    <w:p w14:paraId="40A92A74" w14:textId="77777777" w:rsidR="0029331F" w:rsidRPr="0029331F" w:rsidRDefault="0029331F" w:rsidP="0029331F">
      <w:pPr>
        <w:widowControl/>
        <w:autoSpaceDE w:val="0"/>
        <w:autoSpaceDN w:val="0"/>
        <w:adjustRightInd w:val="0"/>
        <w:rPr>
          <w:rFonts w:eastAsia="Calibri" w:cs="Arial"/>
          <w:bCs/>
          <w:szCs w:val="22"/>
          <w:lang w:val="en-AU" w:bidi="ar-SA"/>
        </w:rPr>
      </w:pPr>
      <w:r w:rsidRPr="0029331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4CE7E6E" w14:textId="77777777" w:rsidR="0029331F" w:rsidRPr="0029331F" w:rsidRDefault="0029331F" w:rsidP="0029331F">
      <w:pPr>
        <w:widowControl/>
        <w:autoSpaceDE w:val="0"/>
        <w:autoSpaceDN w:val="0"/>
        <w:adjustRightInd w:val="0"/>
        <w:rPr>
          <w:rFonts w:eastAsia="Calibri" w:cs="Arial"/>
          <w:bCs/>
          <w:szCs w:val="22"/>
          <w:lang w:val="en-AU" w:bidi="ar-SA"/>
        </w:rPr>
      </w:pPr>
    </w:p>
    <w:p w14:paraId="7D204AB5" w14:textId="1966BD03" w:rsidR="00456BD5" w:rsidRDefault="0029331F" w:rsidP="0029331F">
      <w:pPr>
        <w:widowControl/>
        <w:autoSpaceDE w:val="0"/>
        <w:autoSpaceDN w:val="0"/>
        <w:adjustRightInd w:val="0"/>
        <w:rPr>
          <w:rFonts w:eastAsia="Calibri" w:cs="Arial"/>
          <w:bCs/>
          <w:szCs w:val="22"/>
          <w:lang w:val="en-AU" w:bidi="ar-SA"/>
        </w:rPr>
      </w:pPr>
      <w:r w:rsidRPr="0029331F">
        <w:rPr>
          <w:rFonts w:eastAsia="Calibri" w:cs="Arial"/>
          <w:bCs/>
          <w:szCs w:val="22"/>
          <w:lang w:val="en-AU" w:bidi="ar-SA"/>
        </w:rPr>
        <w:t xml:space="preserve">The Authority accepted Application A1130 which seeks </w:t>
      </w:r>
      <w:r w:rsidRPr="0029331F">
        <w:rPr>
          <w:rFonts w:eastAsia="Calibri" w:cs="Arial"/>
          <w:bCs/>
          <w:szCs w:val="22"/>
          <w:lang w:bidi="ar-SA"/>
        </w:rPr>
        <w:t xml:space="preserve">to permit the use of the enzyme triacylglycerol lipase from a new source microorganism, being </w:t>
      </w:r>
      <w:r w:rsidRPr="0029331F">
        <w:rPr>
          <w:rFonts w:eastAsia="Calibri" w:cs="Arial"/>
          <w:bCs/>
          <w:i/>
          <w:szCs w:val="22"/>
          <w:lang w:bidi="ar-SA"/>
        </w:rPr>
        <w:t xml:space="preserve">Candida </w:t>
      </w:r>
      <w:proofErr w:type="spellStart"/>
      <w:r w:rsidRPr="0029331F">
        <w:rPr>
          <w:rFonts w:eastAsia="Calibri" w:cs="Arial"/>
          <w:bCs/>
          <w:i/>
          <w:szCs w:val="22"/>
          <w:lang w:bidi="ar-SA"/>
        </w:rPr>
        <w:t>cylindracea</w:t>
      </w:r>
      <w:proofErr w:type="spellEnd"/>
      <w:r w:rsidRPr="0029331F">
        <w:rPr>
          <w:rFonts w:eastAsia="Calibri" w:cs="Arial"/>
          <w:bCs/>
          <w:i/>
          <w:szCs w:val="22"/>
          <w:lang w:bidi="ar-SA"/>
        </w:rPr>
        <w:t xml:space="preserve"> </w:t>
      </w:r>
      <w:r w:rsidRPr="0029331F">
        <w:rPr>
          <w:rFonts w:eastAsia="Calibri" w:cs="Arial"/>
          <w:bCs/>
          <w:szCs w:val="22"/>
          <w:lang w:bidi="ar-SA"/>
        </w:rPr>
        <w:t>as a processing aid</w:t>
      </w:r>
      <w:r w:rsidRPr="0029331F">
        <w:rPr>
          <w:sz w:val="20"/>
          <w:szCs w:val="20"/>
        </w:rPr>
        <w:t xml:space="preserve"> </w:t>
      </w:r>
      <w:r w:rsidRPr="0029331F">
        <w:t>in the manufacture of bakery products and dairy products and in the processing of fats and oils</w:t>
      </w:r>
      <w:r w:rsidRPr="0029331F">
        <w:rPr>
          <w:rFonts w:eastAsia="Calibri" w:cs="Arial"/>
          <w:bCs/>
          <w:szCs w:val="22"/>
          <w:lang w:val="en-AU" w:bidi="ar-SA"/>
        </w:rPr>
        <w:t>. The Authority considered the Application in accordance with Division 1 of Part 3 and has prepared a draft variation.</w:t>
      </w:r>
    </w:p>
    <w:p w14:paraId="3E4111B3" w14:textId="77777777" w:rsidR="0029331F" w:rsidRPr="00D13E34" w:rsidRDefault="0029331F" w:rsidP="0029331F">
      <w:pPr>
        <w:widowControl/>
        <w:autoSpaceDE w:val="0"/>
        <w:autoSpaceDN w:val="0"/>
        <w:adjustRightInd w:val="0"/>
        <w:rPr>
          <w:rFonts w:eastAsia="Calibri" w:cs="Arial"/>
          <w:bCs/>
          <w:szCs w:val="22"/>
          <w:lang w:val="en-AU" w:bidi="ar-SA"/>
        </w:rPr>
      </w:pPr>
    </w:p>
    <w:p w14:paraId="5ADEFD02"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79D2E49" w14:textId="77777777" w:rsidR="00456BD5" w:rsidRPr="00D13E34" w:rsidRDefault="00456BD5" w:rsidP="00456BD5">
      <w:pPr>
        <w:widowControl/>
        <w:autoSpaceDE w:val="0"/>
        <w:autoSpaceDN w:val="0"/>
        <w:adjustRightInd w:val="0"/>
        <w:rPr>
          <w:rFonts w:eastAsia="Calibri" w:cs="Arial"/>
          <w:bCs/>
          <w:szCs w:val="22"/>
          <w:lang w:val="en-AU" w:bidi="ar-SA"/>
        </w:rPr>
      </w:pPr>
    </w:p>
    <w:p w14:paraId="24058A53"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39869E6" w14:textId="77777777" w:rsidR="00456BD5" w:rsidRDefault="00456BD5" w:rsidP="00456BD5">
      <w:pPr>
        <w:rPr>
          <w:lang w:val="en-AU" w:eastAsia="en-GB" w:bidi="ar-SA"/>
        </w:rPr>
      </w:pPr>
    </w:p>
    <w:p w14:paraId="09234492"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90A485E" w14:textId="77777777" w:rsidR="00456BD5" w:rsidRDefault="00456BD5" w:rsidP="00456BD5">
      <w:pPr>
        <w:rPr>
          <w:lang w:val="en-AU" w:eastAsia="en-GB" w:bidi="ar-SA"/>
        </w:rPr>
      </w:pPr>
    </w:p>
    <w:p w14:paraId="1BF03F97" w14:textId="0705325C" w:rsidR="00F93431" w:rsidRPr="00F93431" w:rsidRDefault="001E0390" w:rsidP="00F93431">
      <w:pPr>
        <w:rPr>
          <w:lang w:val="en-AU" w:eastAsia="en-GB" w:bidi="ar-SA"/>
        </w:rPr>
      </w:pPr>
      <w:r>
        <w:rPr>
          <w:lang w:val="en-AU" w:eastAsia="en-GB" w:bidi="ar-SA"/>
        </w:rPr>
        <w:t xml:space="preserve">The Code does not currently permit the use of the enzyme triacylglycerol lipase sourced from </w:t>
      </w:r>
      <w:r w:rsidRPr="00F93431">
        <w:rPr>
          <w:rFonts w:eastAsia="Calibri" w:cs="Arial"/>
          <w:bCs/>
          <w:i/>
          <w:szCs w:val="22"/>
          <w:lang w:bidi="ar-SA"/>
        </w:rPr>
        <w:t>C. </w:t>
      </w:r>
      <w:proofErr w:type="spellStart"/>
      <w:r w:rsidRPr="00F93431">
        <w:rPr>
          <w:rFonts w:eastAsia="Calibri" w:cs="Arial"/>
          <w:bCs/>
          <w:i/>
          <w:szCs w:val="22"/>
          <w:lang w:bidi="ar-SA"/>
        </w:rPr>
        <w:t>cylindracea</w:t>
      </w:r>
      <w:proofErr w:type="spellEnd"/>
      <w:r>
        <w:rPr>
          <w:rFonts w:eastAsia="Calibri" w:cs="Arial"/>
          <w:bCs/>
          <w:i/>
          <w:szCs w:val="22"/>
          <w:lang w:bidi="ar-SA"/>
        </w:rPr>
        <w:t xml:space="preserve"> </w:t>
      </w:r>
      <w:r>
        <w:rPr>
          <w:rFonts w:eastAsia="Calibri" w:cs="Arial"/>
          <w:bCs/>
          <w:szCs w:val="22"/>
          <w:lang w:bidi="ar-SA"/>
        </w:rPr>
        <w:t xml:space="preserve">to be used as a processing aid.  The purpose of this variation is to permit the use of this </w:t>
      </w:r>
      <w:proofErr w:type="gramStart"/>
      <w:r>
        <w:rPr>
          <w:rFonts w:eastAsia="Calibri" w:cs="Arial"/>
          <w:bCs/>
          <w:szCs w:val="22"/>
          <w:lang w:bidi="ar-SA"/>
        </w:rPr>
        <w:t xml:space="preserve">enzyme </w:t>
      </w:r>
      <w:r w:rsidR="00F93431" w:rsidRPr="00F93431">
        <w:rPr>
          <w:rFonts w:eastAsia="Calibri" w:cs="Arial"/>
          <w:bCs/>
          <w:szCs w:val="22"/>
          <w:lang w:bidi="ar-SA"/>
        </w:rPr>
        <w:t xml:space="preserve"> as</w:t>
      </w:r>
      <w:proofErr w:type="gramEnd"/>
      <w:r w:rsidR="00F93431" w:rsidRPr="00F93431">
        <w:rPr>
          <w:rFonts w:eastAsia="Calibri" w:cs="Arial"/>
          <w:bCs/>
          <w:szCs w:val="22"/>
          <w:lang w:bidi="ar-SA"/>
        </w:rPr>
        <w:t xml:space="preserve"> a processing aid</w:t>
      </w:r>
      <w:r>
        <w:rPr>
          <w:rFonts w:eastAsia="Calibri" w:cs="Arial"/>
          <w:bCs/>
          <w:szCs w:val="22"/>
          <w:lang w:bidi="ar-SA"/>
        </w:rPr>
        <w:t xml:space="preserve"> only</w:t>
      </w:r>
      <w:r w:rsidR="00F93431" w:rsidRPr="00F93431">
        <w:rPr>
          <w:rFonts w:eastAsia="Calibri" w:cs="Arial"/>
          <w:bCs/>
          <w:szCs w:val="22"/>
          <w:lang w:bidi="ar-SA"/>
        </w:rPr>
        <w:t xml:space="preserve"> </w:t>
      </w:r>
      <w:r w:rsidR="00F93431" w:rsidRPr="00F93431">
        <w:t>in the manufacture of bakery products and dairy products and in the processing of fats and oils, at GMP</w:t>
      </w:r>
      <w:r w:rsidR="00F93431" w:rsidRPr="00F93431">
        <w:rPr>
          <w:rFonts w:eastAsia="Calibri" w:cs="Arial"/>
          <w:bCs/>
          <w:szCs w:val="22"/>
          <w:lang w:val="en-AU" w:bidi="ar-SA"/>
        </w:rPr>
        <w:t xml:space="preserve">. </w:t>
      </w:r>
    </w:p>
    <w:p w14:paraId="78601CBB" w14:textId="77777777" w:rsidR="00456BD5" w:rsidRDefault="00456BD5" w:rsidP="00456BD5">
      <w:pPr>
        <w:rPr>
          <w:lang w:val="en-AU" w:eastAsia="en-GB" w:bidi="ar-SA"/>
        </w:rPr>
      </w:pPr>
    </w:p>
    <w:p w14:paraId="1A3B25C6"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A24EFB9" w14:textId="77777777" w:rsidR="00456BD5" w:rsidRDefault="00456BD5" w:rsidP="00456BD5">
      <w:pPr>
        <w:rPr>
          <w:lang w:val="en-AU" w:eastAsia="en-GB" w:bidi="ar-SA"/>
        </w:rPr>
      </w:pPr>
    </w:p>
    <w:p w14:paraId="260D8166"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F29DCD3" w14:textId="77777777" w:rsidR="00456BD5" w:rsidRDefault="00456BD5" w:rsidP="00456BD5">
      <w:pPr>
        <w:rPr>
          <w:lang w:val="en-AU" w:eastAsia="en-GB" w:bidi="ar-SA"/>
        </w:rPr>
      </w:pPr>
    </w:p>
    <w:p w14:paraId="34098264"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6BDBF3D8" w14:textId="77777777" w:rsidR="00456BD5" w:rsidRDefault="00456BD5" w:rsidP="00456BD5">
      <w:pPr>
        <w:rPr>
          <w:lang w:val="en-AU" w:eastAsia="en-GB" w:bidi="ar-SA"/>
        </w:rPr>
      </w:pPr>
    </w:p>
    <w:p w14:paraId="7026842D" w14:textId="6D69ABFE" w:rsidR="00456BD5" w:rsidRPr="00F93431" w:rsidRDefault="00456BD5" w:rsidP="00456BD5">
      <w:pPr>
        <w:rPr>
          <w:szCs w:val="22"/>
        </w:rPr>
      </w:pPr>
      <w:r w:rsidRPr="00F93431">
        <w:rPr>
          <w:szCs w:val="22"/>
        </w:rPr>
        <w:t xml:space="preserve">In accordance with the procedure in Division </w:t>
      </w:r>
      <w:r w:rsidR="00F93431" w:rsidRPr="00F93431">
        <w:rPr>
          <w:szCs w:val="22"/>
        </w:rPr>
        <w:t>1</w:t>
      </w:r>
      <w:r w:rsidRPr="00F93431">
        <w:rPr>
          <w:szCs w:val="22"/>
        </w:rPr>
        <w:t xml:space="preserve"> of Part </w:t>
      </w:r>
      <w:r w:rsidR="00F93431" w:rsidRPr="00F93431">
        <w:rPr>
          <w:szCs w:val="22"/>
        </w:rPr>
        <w:t>3</w:t>
      </w:r>
      <w:r w:rsidRPr="00F93431">
        <w:rPr>
          <w:szCs w:val="22"/>
        </w:rPr>
        <w:t xml:space="preserve"> of the FSANZ Act, </w:t>
      </w:r>
      <w:r w:rsidRPr="00F93431">
        <w:rPr>
          <w:rFonts w:eastAsia="Calibri" w:cs="Arial"/>
          <w:bCs/>
          <w:szCs w:val="22"/>
          <w:lang w:val="en-AU" w:bidi="ar-SA"/>
        </w:rPr>
        <w:t>the Authority</w:t>
      </w:r>
      <w:r w:rsidRPr="00F93431">
        <w:rPr>
          <w:szCs w:val="22"/>
        </w:rPr>
        <w:t>’s consideration of Application A</w:t>
      </w:r>
      <w:r w:rsidR="00F93431" w:rsidRPr="00F93431">
        <w:rPr>
          <w:szCs w:val="22"/>
        </w:rPr>
        <w:t>1130</w:t>
      </w:r>
      <w:r w:rsidRPr="00F93431">
        <w:rPr>
          <w:szCs w:val="22"/>
        </w:rPr>
        <w:t xml:space="preserve"> included one round of public consultation following an assessment and the preparation of a draft </w:t>
      </w:r>
      <w:r w:rsidR="00CD63C0">
        <w:rPr>
          <w:szCs w:val="22"/>
        </w:rPr>
        <w:t>variation</w:t>
      </w:r>
      <w:r w:rsidR="00CD63C0" w:rsidRPr="00F93431">
        <w:rPr>
          <w:szCs w:val="22"/>
        </w:rPr>
        <w:t xml:space="preserve"> </w:t>
      </w:r>
      <w:r w:rsidRPr="00F93431">
        <w:rPr>
          <w:szCs w:val="22"/>
        </w:rPr>
        <w:t>and associated</w:t>
      </w:r>
      <w:r w:rsidR="00E64A05">
        <w:rPr>
          <w:szCs w:val="22"/>
        </w:rPr>
        <w:t xml:space="preserve"> </w:t>
      </w:r>
      <w:r w:rsidR="00CD63C0">
        <w:rPr>
          <w:szCs w:val="22"/>
        </w:rPr>
        <w:t>report</w:t>
      </w:r>
      <w:r w:rsidRPr="00F93431">
        <w:rPr>
          <w:szCs w:val="22"/>
        </w:rPr>
        <w:t xml:space="preserve">. Submissions were called for on </w:t>
      </w:r>
      <w:r w:rsidR="00F93431" w:rsidRPr="00F93431">
        <w:rPr>
          <w:szCs w:val="22"/>
        </w:rPr>
        <w:t>7 July 2017</w:t>
      </w:r>
      <w:r w:rsidRPr="00F93431">
        <w:rPr>
          <w:szCs w:val="22"/>
        </w:rPr>
        <w:t xml:space="preserve"> for a six-week consultation period. </w:t>
      </w:r>
    </w:p>
    <w:p w14:paraId="52F692B7" w14:textId="77777777" w:rsidR="00F93431" w:rsidRPr="00F93431" w:rsidRDefault="00F93431" w:rsidP="00456BD5">
      <w:pPr>
        <w:rPr>
          <w:lang w:val="en-AU"/>
        </w:rPr>
      </w:pPr>
    </w:p>
    <w:p w14:paraId="12E3AD32" w14:textId="413E005A" w:rsidR="00456BD5" w:rsidRPr="00F93431" w:rsidRDefault="00456BD5" w:rsidP="00456BD5">
      <w:pPr>
        <w:widowControl/>
        <w:autoSpaceDE w:val="0"/>
        <w:autoSpaceDN w:val="0"/>
        <w:adjustRightInd w:val="0"/>
        <w:rPr>
          <w:rFonts w:cs="Arial"/>
          <w:szCs w:val="22"/>
        </w:rPr>
      </w:pPr>
      <w:r w:rsidRPr="00F93431">
        <w:rPr>
          <w:rFonts w:eastAsia="Calibri" w:cs="Arial"/>
          <w:bCs/>
          <w:szCs w:val="22"/>
          <w:lang w:val="en-AU" w:bidi="ar-SA"/>
        </w:rPr>
        <w:t xml:space="preserve">A Regulation Impact Statement was not required because the proposed variation to </w:t>
      </w:r>
      <w:r w:rsidR="00F93431" w:rsidRPr="00F93431">
        <w:rPr>
          <w:rFonts w:eastAsia="Calibri" w:cs="Arial"/>
          <w:bCs/>
          <w:szCs w:val="22"/>
          <w:lang w:val="en-AU" w:bidi="ar-SA"/>
        </w:rPr>
        <w:t>Schedule 18</w:t>
      </w:r>
      <w:r w:rsidRPr="00F93431">
        <w:rPr>
          <w:rFonts w:eastAsia="Calibri" w:cs="Arial"/>
          <w:bCs/>
          <w:szCs w:val="22"/>
          <w:lang w:val="en-AU" w:bidi="ar-SA"/>
        </w:rPr>
        <w:t xml:space="preserve"> </w:t>
      </w:r>
      <w:r w:rsidR="001456F7">
        <w:t>was</w:t>
      </w:r>
      <w:r w:rsidRPr="00F93431">
        <w:t xml:space="preserve"> likely to have a minor impact on business and individuals. </w:t>
      </w:r>
    </w:p>
    <w:p w14:paraId="43782012" w14:textId="77777777" w:rsidR="00456BD5" w:rsidRPr="00F93431" w:rsidRDefault="00456BD5" w:rsidP="00456BD5">
      <w:pPr>
        <w:rPr>
          <w:lang w:val="en-AU" w:eastAsia="en-GB" w:bidi="ar-SA"/>
        </w:rPr>
      </w:pPr>
    </w:p>
    <w:p w14:paraId="72732243"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5F6485E" w14:textId="77777777" w:rsidR="00456BD5" w:rsidRDefault="00456BD5" w:rsidP="00456BD5">
      <w:pPr>
        <w:rPr>
          <w:rFonts w:eastAsiaTheme="minorHAnsi"/>
          <w:lang w:val="en-AU" w:bidi="ar-SA"/>
        </w:rPr>
      </w:pPr>
    </w:p>
    <w:p w14:paraId="14432ADF"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FD075FD" w14:textId="77777777" w:rsidR="00456BD5" w:rsidRDefault="00456BD5" w:rsidP="00456BD5">
      <w:pPr>
        <w:rPr>
          <w:rFonts w:eastAsiaTheme="minorHAnsi"/>
          <w:lang w:val="en-AU" w:bidi="ar-SA"/>
        </w:rPr>
      </w:pPr>
    </w:p>
    <w:p w14:paraId="2B4B67F8"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6E04EB8" w14:textId="77777777" w:rsidR="00456BD5" w:rsidRPr="00432A42" w:rsidRDefault="00456BD5" w:rsidP="00456BD5">
      <w:pPr>
        <w:rPr>
          <w:b/>
        </w:rPr>
      </w:pPr>
    </w:p>
    <w:p w14:paraId="6DB997DC" w14:textId="53B9A760" w:rsidR="00F93431" w:rsidRPr="00F93431" w:rsidRDefault="00F93431" w:rsidP="00F93431">
      <w:r w:rsidRPr="00F93431">
        <w:t>The variation inserts a new entry into the table to subsection S18—9(3) in Schedule 18</w:t>
      </w:r>
      <w:r w:rsidR="00C36722">
        <w:t xml:space="preserve"> of the Code</w:t>
      </w:r>
      <w:r w:rsidRPr="00F93431">
        <w:t xml:space="preserve">. The name of the enzyme in the table is lipase, triacylglycerol which has the Enzyme Commission (EC) number 3.1.1.3. The source microorganism is </w:t>
      </w:r>
      <w:r w:rsidRPr="00F93431">
        <w:rPr>
          <w:i/>
        </w:rPr>
        <w:t xml:space="preserve">Candida </w:t>
      </w:r>
      <w:proofErr w:type="spellStart"/>
      <w:r w:rsidRPr="00F93431">
        <w:rPr>
          <w:i/>
        </w:rPr>
        <w:t>cylindracea</w:t>
      </w:r>
      <w:proofErr w:type="spellEnd"/>
      <w:r w:rsidRPr="00F93431">
        <w:t>. The</w:t>
      </w:r>
      <w:r w:rsidR="00C36722">
        <w:t xml:space="preserve"> prescribed</w:t>
      </w:r>
      <w:r w:rsidRPr="00F93431">
        <w:t xml:space="preserve"> technological purpose is for use in the manufacture of bakery products and dairy products and in the processing of fats and oils. The maximum permitted level is GMP.</w:t>
      </w:r>
    </w:p>
    <w:bookmarkEnd w:id="129"/>
    <w:bookmarkEnd w:id="130"/>
    <w:p w14:paraId="2B6EDA7D" w14:textId="37C11E60" w:rsidR="0012388D" w:rsidRDefault="0012388D" w:rsidP="00F55E6C">
      <w:pPr>
        <w:rPr>
          <w:rFonts w:cs="Arial"/>
        </w:rPr>
      </w:pPr>
    </w:p>
    <w:sectPr w:rsidR="0012388D" w:rsidSect="00F55E6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95290" w14:textId="77777777" w:rsidR="0099666B" w:rsidRDefault="0099666B">
      <w:r>
        <w:separator/>
      </w:r>
    </w:p>
    <w:p w14:paraId="6C412EDC" w14:textId="77777777" w:rsidR="0099666B" w:rsidRDefault="0099666B"/>
  </w:endnote>
  <w:endnote w:type="continuationSeparator" w:id="0">
    <w:p w14:paraId="397C240E" w14:textId="77777777" w:rsidR="0099666B" w:rsidRDefault="0099666B">
      <w:r>
        <w:continuationSeparator/>
      </w:r>
    </w:p>
    <w:p w14:paraId="6A7FF337" w14:textId="77777777" w:rsidR="0099666B" w:rsidRDefault="00996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60F37" w14:textId="77777777" w:rsidR="0099666B" w:rsidRDefault="0099666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28DE3" w14:textId="77777777" w:rsidR="0099666B" w:rsidRDefault="00996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6A458B59" w14:textId="0D32C0B6" w:rsidR="0099666B" w:rsidRDefault="0099666B" w:rsidP="00A671E6">
        <w:pPr>
          <w:pStyle w:val="Footer"/>
          <w:jc w:val="center"/>
        </w:pPr>
        <w:r>
          <w:fldChar w:fldCharType="begin"/>
        </w:r>
        <w:r>
          <w:instrText xml:space="preserve"> PAGE   \* MERGEFORMAT </w:instrText>
        </w:r>
        <w:r>
          <w:fldChar w:fldCharType="separate"/>
        </w:r>
        <w:r w:rsidR="00935EF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A4A77" w14:textId="77777777" w:rsidR="0099666B" w:rsidRDefault="0099666B">
      <w:r>
        <w:separator/>
      </w:r>
    </w:p>
  </w:footnote>
  <w:footnote w:type="continuationSeparator" w:id="0">
    <w:p w14:paraId="12E48F7A" w14:textId="77777777" w:rsidR="0099666B" w:rsidRDefault="0099666B">
      <w:r>
        <w:continuationSeparator/>
      </w:r>
    </w:p>
  </w:footnote>
  <w:footnote w:type="continuationNotice" w:id="1">
    <w:p w14:paraId="536DD181" w14:textId="77777777" w:rsidR="0099666B" w:rsidRDefault="0099666B"/>
  </w:footnote>
  <w:footnote w:id="2">
    <w:p w14:paraId="61F7AE5F" w14:textId="77777777" w:rsidR="0099666B" w:rsidRDefault="0099666B" w:rsidP="000064FB">
      <w:pPr>
        <w:pStyle w:val="FootnoteText"/>
        <w:rPr>
          <w:color w:val="FF0000"/>
          <w:sz w:val="18"/>
          <w:szCs w:val="18"/>
          <w:lang w:val="en-AU"/>
        </w:rPr>
      </w:pPr>
      <w:r w:rsidRPr="00820535">
        <w:rPr>
          <w:rStyle w:val="FootnoteReference"/>
          <w:sz w:val="18"/>
          <w:szCs w:val="18"/>
        </w:rPr>
        <w:footnoteRef/>
      </w:r>
      <w:r w:rsidRPr="00820535">
        <w:rPr>
          <w:sz w:val="18"/>
          <w:szCs w:val="18"/>
        </w:rPr>
        <w:t xml:space="preserve"> </w:t>
      </w:r>
      <w:hyperlink r:id="rId1" w:history="1">
        <w:r w:rsidRPr="005B39A5">
          <w:rPr>
            <w:rStyle w:val="Hyperlink"/>
            <w:sz w:val="18"/>
            <w:szCs w:val="18"/>
            <w:lang w:val="en-AU"/>
          </w:rPr>
          <w:t>http://www.foodstandards.gov.au/code/applications/Pages/A1130-Triacylglycerol-Lipase-as-a-PA.aspx</w:t>
        </w:r>
      </w:hyperlink>
    </w:p>
    <w:p w14:paraId="75E95FC1" w14:textId="77777777" w:rsidR="0099666B" w:rsidRPr="00820535" w:rsidRDefault="0099666B" w:rsidP="000064FB">
      <w:pPr>
        <w:pStyle w:val="FootnoteText"/>
        <w:rPr>
          <w:sz w:val="18"/>
          <w:szCs w:val="18"/>
          <w:lang w:val="en-AU"/>
        </w:rPr>
      </w:pPr>
    </w:p>
  </w:footnote>
  <w:footnote w:id="3">
    <w:p w14:paraId="270DE8B4" w14:textId="77777777" w:rsidR="0099666B" w:rsidRPr="00C31BE8" w:rsidRDefault="0099666B" w:rsidP="00220D57">
      <w:pPr>
        <w:pStyle w:val="FootnoteText"/>
        <w:rPr>
          <w:sz w:val="18"/>
          <w:szCs w:val="18"/>
          <w:lang w:val="en-AU"/>
        </w:rPr>
      </w:pPr>
      <w:r w:rsidRPr="00C31BE8">
        <w:rPr>
          <w:rStyle w:val="FootnoteReference"/>
          <w:sz w:val="18"/>
          <w:szCs w:val="18"/>
        </w:rPr>
        <w:footnoteRef/>
      </w:r>
      <w:r w:rsidRPr="00C31BE8">
        <w:rPr>
          <w:sz w:val="18"/>
          <w:szCs w:val="18"/>
        </w:rPr>
        <w:t xml:space="preserve"> </w:t>
      </w:r>
      <w:proofErr w:type="gramStart"/>
      <w:r w:rsidRPr="00C31BE8">
        <w:rPr>
          <w:sz w:val="18"/>
          <w:szCs w:val="18"/>
          <w:lang w:val="en-AU"/>
        </w:rPr>
        <w:t xml:space="preserve">Copy available upon request to </w:t>
      </w:r>
      <w:hyperlink r:id="rId2" w:history="1">
        <w:r w:rsidRPr="00BB0660">
          <w:rPr>
            <w:rStyle w:val="Hyperlink"/>
            <w:sz w:val="18"/>
            <w:szCs w:val="18"/>
            <w:lang w:val="en-AU"/>
          </w:rPr>
          <w:t>standards.management@foodstandards.gov.au</w:t>
        </w:r>
      </w:hyperlink>
      <w:r>
        <w:rPr>
          <w:sz w:val="18"/>
          <w:szCs w:val="18"/>
          <w:lang w:val="en-AU"/>
        </w:rPr>
        <w:t>.</w:t>
      </w:r>
      <w:proofErr w:type="gramEnd"/>
      <w:r>
        <w:rPr>
          <w:sz w:val="18"/>
          <w:szCs w:val="18"/>
          <w:lang w:val="en-AU"/>
        </w:rPr>
        <w:t xml:space="preserve"> </w:t>
      </w:r>
      <w:r w:rsidRPr="00CC05EC">
        <w:rPr>
          <w:sz w:val="18"/>
          <w:szCs w:val="18"/>
          <w:lang w:val="en-AU"/>
        </w:rPr>
        <w:t xml:space="preserve"> </w:t>
      </w:r>
      <w:r>
        <w:rPr>
          <w:sz w:val="18"/>
          <w:szCs w:val="18"/>
          <w:lang w:val="en-AU"/>
        </w:rPr>
        <w:t xml:space="preserve"> </w:t>
      </w:r>
      <w:hyperlink r:id="rId3" w:history="1"/>
      <w:r>
        <w:rPr>
          <w:sz w:val="18"/>
          <w:szCs w:val="18"/>
          <w:lang w:val="en-AU"/>
        </w:rPr>
        <w:t xml:space="preserve"> </w:t>
      </w:r>
      <w:r w:rsidRPr="00C31BE8">
        <w:rPr>
          <w:sz w:val="18"/>
          <w:szCs w:val="18"/>
          <w:lang w:val="en-AU"/>
        </w:rPr>
        <w:t xml:space="preserve"> </w:t>
      </w:r>
    </w:p>
  </w:footnote>
  <w:footnote w:id="4">
    <w:p w14:paraId="536360E5" w14:textId="77777777" w:rsidR="0099666B" w:rsidRPr="00C31BE8" w:rsidRDefault="0099666B" w:rsidP="001028F9">
      <w:pPr>
        <w:pStyle w:val="FootnoteText"/>
        <w:rPr>
          <w:i/>
          <w:sz w:val="18"/>
          <w:lang w:val="en-AU"/>
        </w:rPr>
      </w:pPr>
      <w:r w:rsidRPr="00C31BE8">
        <w:rPr>
          <w:rStyle w:val="FootnoteReference"/>
          <w:sz w:val="18"/>
        </w:rPr>
        <w:footnoteRef/>
      </w:r>
      <w:r w:rsidRPr="00C31BE8">
        <w:rPr>
          <w:sz w:val="18"/>
        </w:rPr>
        <w:t xml:space="preserve"> Paper prepared by an electronic working group led by Iran for the </w:t>
      </w:r>
      <w:r w:rsidRPr="00C31BE8">
        <w:rPr>
          <w:sz w:val="18"/>
          <w:lang w:val="en-AU"/>
        </w:rPr>
        <w:t>Joint FAO/WHO Food Standards Programme Codex Committee on Food Additives (CCFA) 49</w:t>
      </w:r>
      <w:r w:rsidRPr="00C31BE8">
        <w:rPr>
          <w:sz w:val="18"/>
          <w:vertAlign w:val="superscript"/>
          <w:lang w:val="en-AU"/>
        </w:rPr>
        <w:t>th</w:t>
      </w:r>
      <w:r w:rsidRPr="00C31BE8">
        <w:rPr>
          <w:sz w:val="18"/>
          <w:lang w:val="en-AU"/>
        </w:rPr>
        <w:t xml:space="preserve"> Session (March 2017) </w:t>
      </w:r>
      <w:r w:rsidRPr="00C31BE8">
        <w:rPr>
          <w:i/>
          <w:sz w:val="18"/>
          <w:lang w:val="en-AU"/>
        </w:rPr>
        <w:t xml:space="preserve">Proposed draft revision to the International Numbering System (INS) for food additives </w:t>
      </w:r>
      <w:r w:rsidRPr="00C31BE8">
        <w:rPr>
          <w:sz w:val="18"/>
          <w:lang w:val="en-AU"/>
        </w:rPr>
        <w:t>(CAC/GL 36-1989)</w:t>
      </w:r>
      <w:r>
        <w:rPr>
          <w:sz w:val="18"/>
          <w:lang w:val="en-AU"/>
        </w:rPr>
        <w:t>.</w:t>
      </w:r>
    </w:p>
  </w:footnote>
  <w:footnote w:id="5">
    <w:p w14:paraId="75796C1A" w14:textId="4A937569" w:rsidR="0099666B" w:rsidRPr="007B5AE5" w:rsidRDefault="0099666B">
      <w:pPr>
        <w:pStyle w:val="FootnoteText"/>
        <w:rPr>
          <w:lang w:val="en-AU"/>
        </w:rPr>
      </w:pPr>
      <w:r>
        <w:rPr>
          <w:rStyle w:val="FootnoteReference"/>
        </w:rPr>
        <w:footnoteRef/>
      </w:r>
      <w:r>
        <w:t xml:space="preserve"> </w:t>
      </w:r>
      <w:r w:rsidRPr="007B5AE5">
        <w:rPr>
          <w:sz w:val="18"/>
          <w:szCs w:val="18"/>
          <w:lang w:val="en-AU"/>
        </w:rPr>
        <w:t>Report of the 49</w:t>
      </w:r>
      <w:r w:rsidRPr="007B5AE5">
        <w:rPr>
          <w:sz w:val="18"/>
          <w:szCs w:val="18"/>
          <w:vertAlign w:val="superscript"/>
          <w:lang w:val="en-AU"/>
        </w:rPr>
        <w:t>th</w:t>
      </w:r>
      <w:r w:rsidRPr="007B5AE5">
        <w:rPr>
          <w:sz w:val="18"/>
          <w:szCs w:val="18"/>
          <w:lang w:val="en-AU"/>
        </w:rPr>
        <w:t xml:space="preserve"> session of the Codex Committee on Food Additives, Macao SAR, China, 20-24 March 2017</w:t>
      </w:r>
      <w:r>
        <w:rPr>
          <w:sz w:val="18"/>
          <w:szCs w:val="18"/>
          <w:lang w:val="en-AU"/>
        </w:rPr>
        <w:t xml:space="preserve">, available at this link </w:t>
      </w:r>
      <w:hyperlink r:id="rId4" w:history="1">
        <w:r w:rsidRPr="00E6669F">
          <w:rPr>
            <w:rStyle w:val="Hyperlink"/>
            <w:sz w:val="18"/>
            <w:szCs w:val="18"/>
            <w:lang w:val="en-AU"/>
          </w:rPr>
          <w:t>http://www.fao.org/fao-who-codexalimentarius/sh-proxy/en/?lnk=1&amp;url=https%253A%252F%252Fworkspace.fao.org%252Fsites%252Fcodex%252FMeetings%252FCX-711-49%252FReport%252FREP17_FAe.pdf</w:t>
        </w:r>
      </w:hyperlink>
      <w:r>
        <w:rPr>
          <w:sz w:val="18"/>
          <w:szCs w:val="18"/>
          <w:lang w:val="en-AU"/>
        </w:rPr>
        <w:t xml:space="preserve"> </w:t>
      </w:r>
    </w:p>
  </w:footnote>
  <w:footnote w:id="6">
    <w:p w14:paraId="6485DC38" w14:textId="77777777" w:rsidR="0099666B" w:rsidRPr="005E491F" w:rsidRDefault="0099666B" w:rsidP="009D5F06">
      <w:pPr>
        <w:pStyle w:val="FootnoteText"/>
        <w:rPr>
          <w:lang w:val="en-AU"/>
        </w:rPr>
      </w:pPr>
      <w:r w:rsidRPr="00C31BE8">
        <w:rPr>
          <w:rStyle w:val="FootnoteReference"/>
          <w:sz w:val="18"/>
        </w:rPr>
        <w:footnoteRef/>
      </w:r>
      <w:r w:rsidRPr="00C31BE8">
        <w:rPr>
          <w:sz w:val="18"/>
        </w:rPr>
        <w:t xml:space="preserve"> </w:t>
      </w:r>
      <w:proofErr w:type="spellStart"/>
      <w:r w:rsidRPr="00C31BE8">
        <w:rPr>
          <w:sz w:val="18"/>
          <w:lang w:val="en-AU"/>
        </w:rPr>
        <w:t>Budnik</w:t>
      </w:r>
      <w:proofErr w:type="spellEnd"/>
      <w:r w:rsidRPr="00C31BE8">
        <w:rPr>
          <w:sz w:val="18"/>
          <w:lang w:val="en-AU"/>
        </w:rPr>
        <w:t xml:space="preserve"> LT, </w:t>
      </w:r>
      <w:proofErr w:type="spellStart"/>
      <w:r w:rsidRPr="00C31BE8">
        <w:rPr>
          <w:sz w:val="18"/>
          <w:lang w:val="en-AU"/>
        </w:rPr>
        <w:t>Scheer</w:t>
      </w:r>
      <w:proofErr w:type="spellEnd"/>
      <w:r w:rsidRPr="00C31BE8">
        <w:rPr>
          <w:sz w:val="18"/>
          <w:lang w:val="en-AU"/>
        </w:rPr>
        <w:t xml:space="preserve"> E, Burge PS, </w:t>
      </w:r>
      <w:proofErr w:type="spellStart"/>
      <w:r w:rsidRPr="00C31BE8">
        <w:rPr>
          <w:sz w:val="18"/>
          <w:lang w:val="en-AU"/>
        </w:rPr>
        <w:t>Baur</w:t>
      </w:r>
      <w:proofErr w:type="spellEnd"/>
      <w:r w:rsidRPr="00C31BE8">
        <w:rPr>
          <w:sz w:val="18"/>
          <w:lang w:val="en-AU"/>
        </w:rPr>
        <w:t xml:space="preserve"> X (2017) Sensitising effects of genetically modified enzymes used in flavour, fragrance, detergence and pharmaceutical production; cross-sectional study. Occupational and Environmental Medicine 74(1):39-45</w:t>
      </w:r>
      <w:r>
        <w:rPr>
          <w:sz w:val="18"/>
          <w:lang w:val="en-AU"/>
        </w:rPr>
        <w:t>.</w:t>
      </w:r>
    </w:p>
  </w:footnote>
  <w:footnote w:id="7">
    <w:p w14:paraId="67058CD4" w14:textId="77777777" w:rsidR="0099666B" w:rsidRPr="00277164" w:rsidRDefault="0099666B" w:rsidP="0029331F">
      <w:pPr>
        <w:pStyle w:val="FootnoteText"/>
        <w:rPr>
          <w:lang w:val="en-AU"/>
        </w:rPr>
      </w:pPr>
      <w:r>
        <w:rPr>
          <w:rStyle w:val="FootnoteReference"/>
        </w:rPr>
        <w:footnoteRef/>
      </w:r>
      <w:r>
        <w:t xml:space="preserve"> </w:t>
      </w:r>
      <w:hyperlink r:id="rId5" w:history="1">
        <w:r w:rsidRPr="00791C10">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2CB5" w14:textId="29382DF9" w:rsidR="0099666B" w:rsidRPr="00616017" w:rsidRDefault="0099666B"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0A29" w14:textId="77777777" w:rsidR="0099666B" w:rsidRDefault="0099666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64FB"/>
    <w:rsid w:val="00010624"/>
    <w:rsid w:val="00010E79"/>
    <w:rsid w:val="00011187"/>
    <w:rsid w:val="00014E34"/>
    <w:rsid w:val="00015712"/>
    <w:rsid w:val="000332AE"/>
    <w:rsid w:val="00035FF3"/>
    <w:rsid w:val="000418F0"/>
    <w:rsid w:val="000461AE"/>
    <w:rsid w:val="00051021"/>
    <w:rsid w:val="000524F0"/>
    <w:rsid w:val="00052D54"/>
    <w:rsid w:val="000576EB"/>
    <w:rsid w:val="00061265"/>
    <w:rsid w:val="00064B2D"/>
    <w:rsid w:val="00065F1F"/>
    <w:rsid w:val="00076D33"/>
    <w:rsid w:val="00076D3B"/>
    <w:rsid w:val="00077859"/>
    <w:rsid w:val="00077AEA"/>
    <w:rsid w:val="00081B0A"/>
    <w:rsid w:val="000A0E8D"/>
    <w:rsid w:val="000A3D8B"/>
    <w:rsid w:val="000B427A"/>
    <w:rsid w:val="000B6880"/>
    <w:rsid w:val="000B6AF2"/>
    <w:rsid w:val="000C4878"/>
    <w:rsid w:val="000D6FD4"/>
    <w:rsid w:val="000D7B1C"/>
    <w:rsid w:val="000E0AE4"/>
    <w:rsid w:val="000E1EA4"/>
    <w:rsid w:val="000E3DBC"/>
    <w:rsid w:val="000E662F"/>
    <w:rsid w:val="000F3CFE"/>
    <w:rsid w:val="000F6568"/>
    <w:rsid w:val="000F7568"/>
    <w:rsid w:val="00101BC2"/>
    <w:rsid w:val="00102819"/>
    <w:rsid w:val="001028F9"/>
    <w:rsid w:val="00104544"/>
    <w:rsid w:val="0010778D"/>
    <w:rsid w:val="001122EC"/>
    <w:rsid w:val="0012388D"/>
    <w:rsid w:val="00136B57"/>
    <w:rsid w:val="00137D8F"/>
    <w:rsid w:val="001456F7"/>
    <w:rsid w:val="00150B54"/>
    <w:rsid w:val="0015187A"/>
    <w:rsid w:val="00182C4C"/>
    <w:rsid w:val="001878C5"/>
    <w:rsid w:val="001928AC"/>
    <w:rsid w:val="0019399D"/>
    <w:rsid w:val="00197D8D"/>
    <w:rsid w:val="001A1A75"/>
    <w:rsid w:val="001A7E9A"/>
    <w:rsid w:val="001B3CEC"/>
    <w:rsid w:val="001B77A5"/>
    <w:rsid w:val="001C27A3"/>
    <w:rsid w:val="001D43F6"/>
    <w:rsid w:val="001D4866"/>
    <w:rsid w:val="001E0390"/>
    <w:rsid w:val="001E09FA"/>
    <w:rsid w:val="001F0994"/>
    <w:rsid w:val="001F52B4"/>
    <w:rsid w:val="001F7F63"/>
    <w:rsid w:val="00202A6F"/>
    <w:rsid w:val="00207D96"/>
    <w:rsid w:val="00220D57"/>
    <w:rsid w:val="0022197C"/>
    <w:rsid w:val="00221D07"/>
    <w:rsid w:val="00224E3B"/>
    <w:rsid w:val="00225152"/>
    <w:rsid w:val="00227568"/>
    <w:rsid w:val="00227E4A"/>
    <w:rsid w:val="002374DE"/>
    <w:rsid w:val="002421C1"/>
    <w:rsid w:val="00250197"/>
    <w:rsid w:val="00261144"/>
    <w:rsid w:val="0026387E"/>
    <w:rsid w:val="002758A0"/>
    <w:rsid w:val="0029204E"/>
    <w:rsid w:val="00292B9B"/>
    <w:rsid w:val="0029331F"/>
    <w:rsid w:val="002A0194"/>
    <w:rsid w:val="002A39E5"/>
    <w:rsid w:val="002A5F8B"/>
    <w:rsid w:val="002A7F6C"/>
    <w:rsid w:val="002B0071"/>
    <w:rsid w:val="002C1A3B"/>
    <w:rsid w:val="002E16D5"/>
    <w:rsid w:val="002E1820"/>
    <w:rsid w:val="002E6127"/>
    <w:rsid w:val="002F35EA"/>
    <w:rsid w:val="002F6488"/>
    <w:rsid w:val="00305C54"/>
    <w:rsid w:val="0031016C"/>
    <w:rsid w:val="0031426B"/>
    <w:rsid w:val="003213F9"/>
    <w:rsid w:val="00323426"/>
    <w:rsid w:val="00323AB6"/>
    <w:rsid w:val="00323DBF"/>
    <w:rsid w:val="00327867"/>
    <w:rsid w:val="00332B12"/>
    <w:rsid w:val="00337CBC"/>
    <w:rsid w:val="003428FC"/>
    <w:rsid w:val="00346622"/>
    <w:rsid w:val="003507DB"/>
    <w:rsid w:val="00351B07"/>
    <w:rsid w:val="0036533D"/>
    <w:rsid w:val="00371B29"/>
    <w:rsid w:val="003766F8"/>
    <w:rsid w:val="00380106"/>
    <w:rsid w:val="003814F0"/>
    <w:rsid w:val="00381E07"/>
    <w:rsid w:val="0038464F"/>
    <w:rsid w:val="00385788"/>
    <w:rsid w:val="00391769"/>
    <w:rsid w:val="003953E1"/>
    <w:rsid w:val="003956B3"/>
    <w:rsid w:val="003A0A4D"/>
    <w:rsid w:val="003A3D30"/>
    <w:rsid w:val="003A6811"/>
    <w:rsid w:val="003A68BE"/>
    <w:rsid w:val="003A7B84"/>
    <w:rsid w:val="003C1202"/>
    <w:rsid w:val="003C25C4"/>
    <w:rsid w:val="003C4969"/>
    <w:rsid w:val="003C7F8A"/>
    <w:rsid w:val="003D2CDC"/>
    <w:rsid w:val="003E41D5"/>
    <w:rsid w:val="003E46BA"/>
    <w:rsid w:val="003F74C1"/>
    <w:rsid w:val="00401ADE"/>
    <w:rsid w:val="00405B1A"/>
    <w:rsid w:val="00410C76"/>
    <w:rsid w:val="00411907"/>
    <w:rsid w:val="0041307F"/>
    <w:rsid w:val="00417EE3"/>
    <w:rsid w:val="004207EB"/>
    <w:rsid w:val="00421730"/>
    <w:rsid w:val="00422EC9"/>
    <w:rsid w:val="00423AC7"/>
    <w:rsid w:val="00432A42"/>
    <w:rsid w:val="00437276"/>
    <w:rsid w:val="004418F5"/>
    <w:rsid w:val="00453646"/>
    <w:rsid w:val="00456B54"/>
    <w:rsid w:val="00456BD5"/>
    <w:rsid w:val="00464643"/>
    <w:rsid w:val="00486793"/>
    <w:rsid w:val="00486C66"/>
    <w:rsid w:val="00494A3F"/>
    <w:rsid w:val="004A2037"/>
    <w:rsid w:val="004A793C"/>
    <w:rsid w:val="004B047B"/>
    <w:rsid w:val="004B4CDC"/>
    <w:rsid w:val="004D121E"/>
    <w:rsid w:val="004D1B1C"/>
    <w:rsid w:val="004F1915"/>
    <w:rsid w:val="004F4183"/>
    <w:rsid w:val="004F4F98"/>
    <w:rsid w:val="004F69F6"/>
    <w:rsid w:val="004F79AC"/>
    <w:rsid w:val="00506E9B"/>
    <w:rsid w:val="00510271"/>
    <w:rsid w:val="005207D8"/>
    <w:rsid w:val="00523930"/>
    <w:rsid w:val="005244F1"/>
    <w:rsid w:val="0053629F"/>
    <w:rsid w:val="00537CDC"/>
    <w:rsid w:val="00560185"/>
    <w:rsid w:val="00562917"/>
    <w:rsid w:val="0056617A"/>
    <w:rsid w:val="00571B8C"/>
    <w:rsid w:val="00577E43"/>
    <w:rsid w:val="00580DDF"/>
    <w:rsid w:val="005811B7"/>
    <w:rsid w:val="00586228"/>
    <w:rsid w:val="005946D3"/>
    <w:rsid w:val="005964B4"/>
    <w:rsid w:val="00597631"/>
    <w:rsid w:val="005A572E"/>
    <w:rsid w:val="005B084E"/>
    <w:rsid w:val="005B2996"/>
    <w:rsid w:val="005B6AF4"/>
    <w:rsid w:val="005C04CB"/>
    <w:rsid w:val="005C1D2C"/>
    <w:rsid w:val="005D16AD"/>
    <w:rsid w:val="005D2016"/>
    <w:rsid w:val="005D72E1"/>
    <w:rsid w:val="005E06C0"/>
    <w:rsid w:val="005E2F1D"/>
    <w:rsid w:val="005E3B15"/>
    <w:rsid w:val="005E58D3"/>
    <w:rsid w:val="005E6E16"/>
    <w:rsid w:val="005F400E"/>
    <w:rsid w:val="005F7342"/>
    <w:rsid w:val="00610A3C"/>
    <w:rsid w:val="006138D7"/>
    <w:rsid w:val="00615E83"/>
    <w:rsid w:val="00616017"/>
    <w:rsid w:val="00627F48"/>
    <w:rsid w:val="0063455F"/>
    <w:rsid w:val="00634750"/>
    <w:rsid w:val="00635814"/>
    <w:rsid w:val="00650F82"/>
    <w:rsid w:val="00663FCF"/>
    <w:rsid w:val="006652A2"/>
    <w:rsid w:val="00683071"/>
    <w:rsid w:val="0069147D"/>
    <w:rsid w:val="00692490"/>
    <w:rsid w:val="006969CC"/>
    <w:rsid w:val="00696A15"/>
    <w:rsid w:val="006A2FA0"/>
    <w:rsid w:val="006A48A7"/>
    <w:rsid w:val="006A5D40"/>
    <w:rsid w:val="006C116D"/>
    <w:rsid w:val="006C22A7"/>
    <w:rsid w:val="006C5CF5"/>
    <w:rsid w:val="006D33FF"/>
    <w:rsid w:val="006E10A1"/>
    <w:rsid w:val="006F4A82"/>
    <w:rsid w:val="00710C37"/>
    <w:rsid w:val="00724FA4"/>
    <w:rsid w:val="00730800"/>
    <w:rsid w:val="00755F02"/>
    <w:rsid w:val="007602AA"/>
    <w:rsid w:val="007652EF"/>
    <w:rsid w:val="00765DE1"/>
    <w:rsid w:val="00772BDC"/>
    <w:rsid w:val="00777437"/>
    <w:rsid w:val="007776B4"/>
    <w:rsid w:val="00780792"/>
    <w:rsid w:val="0078309E"/>
    <w:rsid w:val="00793D72"/>
    <w:rsid w:val="00795D86"/>
    <w:rsid w:val="007A44B4"/>
    <w:rsid w:val="007A53BF"/>
    <w:rsid w:val="007A7D3D"/>
    <w:rsid w:val="007B225D"/>
    <w:rsid w:val="007B37B3"/>
    <w:rsid w:val="007B5AE5"/>
    <w:rsid w:val="007C1701"/>
    <w:rsid w:val="007C1C64"/>
    <w:rsid w:val="007C22CB"/>
    <w:rsid w:val="007C3B98"/>
    <w:rsid w:val="007D0189"/>
    <w:rsid w:val="007D5663"/>
    <w:rsid w:val="007E48BC"/>
    <w:rsid w:val="007E4A01"/>
    <w:rsid w:val="007E79F7"/>
    <w:rsid w:val="007F3630"/>
    <w:rsid w:val="007F7BF7"/>
    <w:rsid w:val="00807559"/>
    <w:rsid w:val="00813464"/>
    <w:rsid w:val="00831154"/>
    <w:rsid w:val="008317B3"/>
    <w:rsid w:val="00844154"/>
    <w:rsid w:val="008450BC"/>
    <w:rsid w:val="00847066"/>
    <w:rsid w:val="00850B09"/>
    <w:rsid w:val="00852BC2"/>
    <w:rsid w:val="0085334B"/>
    <w:rsid w:val="008537BA"/>
    <w:rsid w:val="00856712"/>
    <w:rsid w:val="00860808"/>
    <w:rsid w:val="00861C13"/>
    <w:rsid w:val="00862349"/>
    <w:rsid w:val="0086571E"/>
    <w:rsid w:val="00867AF4"/>
    <w:rsid w:val="00870214"/>
    <w:rsid w:val="00871116"/>
    <w:rsid w:val="0088325A"/>
    <w:rsid w:val="00885C51"/>
    <w:rsid w:val="00896B85"/>
    <w:rsid w:val="008A243D"/>
    <w:rsid w:val="008C4E76"/>
    <w:rsid w:val="008D06C6"/>
    <w:rsid w:val="008D123B"/>
    <w:rsid w:val="008D5E9D"/>
    <w:rsid w:val="008E6250"/>
    <w:rsid w:val="008F305E"/>
    <w:rsid w:val="009017AF"/>
    <w:rsid w:val="00917C6F"/>
    <w:rsid w:val="00920249"/>
    <w:rsid w:val="00932F14"/>
    <w:rsid w:val="00935EF8"/>
    <w:rsid w:val="0094247F"/>
    <w:rsid w:val="00942D60"/>
    <w:rsid w:val="0094358A"/>
    <w:rsid w:val="009460FA"/>
    <w:rsid w:val="00947534"/>
    <w:rsid w:val="009478A1"/>
    <w:rsid w:val="00964A94"/>
    <w:rsid w:val="0096523B"/>
    <w:rsid w:val="00972D06"/>
    <w:rsid w:val="0099323D"/>
    <w:rsid w:val="0099623A"/>
    <w:rsid w:val="0099666B"/>
    <w:rsid w:val="009A2699"/>
    <w:rsid w:val="009A2DC9"/>
    <w:rsid w:val="009A391C"/>
    <w:rsid w:val="009C72B0"/>
    <w:rsid w:val="009D5F06"/>
    <w:rsid w:val="009E0A61"/>
    <w:rsid w:val="009E3010"/>
    <w:rsid w:val="009E46F5"/>
    <w:rsid w:val="009E516E"/>
    <w:rsid w:val="009F7065"/>
    <w:rsid w:val="00A21781"/>
    <w:rsid w:val="00A2449C"/>
    <w:rsid w:val="00A318EB"/>
    <w:rsid w:val="00A42E1E"/>
    <w:rsid w:val="00A5236C"/>
    <w:rsid w:val="00A551B9"/>
    <w:rsid w:val="00A56DC7"/>
    <w:rsid w:val="00A66FDD"/>
    <w:rsid w:val="00A671E6"/>
    <w:rsid w:val="00A709E5"/>
    <w:rsid w:val="00A74FD1"/>
    <w:rsid w:val="00A84A58"/>
    <w:rsid w:val="00A929A9"/>
    <w:rsid w:val="00A96594"/>
    <w:rsid w:val="00AA41BA"/>
    <w:rsid w:val="00AA6D0D"/>
    <w:rsid w:val="00AA6FA3"/>
    <w:rsid w:val="00AC428E"/>
    <w:rsid w:val="00AD344F"/>
    <w:rsid w:val="00AE4FFD"/>
    <w:rsid w:val="00AF24FA"/>
    <w:rsid w:val="00AF387F"/>
    <w:rsid w:val="00AF397D"/>
    <w:rsid w:val="00B004B1"/>
    <w:rsid w:val="00B00E7F"/>
    <w:rsid w:val="00B17112"/>
    <w:rsid w:val="00B21055"/>
    <w:rsid w:val="00B21DCC"/>
    <w:rsid w:val="00B25F37"/>
    <w:rsid w:val="00B37158"/>
    <w:rsid w:val="00B425AA"/>
    <w:rsid w:val="00B44422"/>
    <w:rsid w:val="00B44E81"/>
    <w:rsid w:val="00B46B49"/>
    <w:rsid w:val="00B46D56"/>
    <w:rsid w:val="00B46EA0"/>
    <w:rsid w:val="00B5558E"/>
    <w:rsid w:val="00B55714"/>
    <w:rsid w:val="00B56880"/>
    <w:rsid w:val="00B63BBA"/>
    <w:rsid w:val="00B64703"/>
    <w:rsid w:val="00B731D3"/>
    <w:rsid w:val="00B75B57"/>
    <w:rsid w:val="00B77C18"/>
    <w:rsid w:val="00B811B3"/>
    <w:rsid w:val="00B839A3"/>
    <w:rsid w:val="00B902BD"/>
    <w:rsid w:val="00B92501"/>
    <w:rsid w:val="00BA1009"/>
    <w:rsid w:val="00BA7F63"/>
    <w:rsid w:val="00BB0EC9"/>
    <w:rsid w:val="00BD2A39"/>
    <w:rsid w:val="00BD2E80"/>
    <w:rsid w:val="00BD49FF"/>
    <w:rsid w:val="00BD4B64"/>
    <w:rsid w:val="00BD77E1"/>
    <w:rsid w:val="00BE11B8"/>
    <w:rsid w:val="00BF45A3"/>
    <w:rsid w:val="00BF7FF0"/>
    <w:rsid w:val="00C11AEA"/>
    <w:rsid w:val="00C12502"/>
    <w:rsid w:val="00C26B3B"/>
    <w:rsid w:val="00C36722"/>
    <w:rsid w:val="00C40AA5"/>
    <w:rsid w:val="00C46F70"/>
    <w:rsid w:val="00C476D0"/>
    <w:rsid w:val="00C6434A"/>
    <w:rsid w:val="00C64555"/>
    <w:rsid w:val="00C74398"/>
    <w:rsid w:val="00C75DF6"/>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63C0"/>
    <w:rsid w:val="00CD7EBF"/>
    <w:rsid w:val="00CE59AA"/>
    <w:rsid w:val="00CF0E86"/>
    <w:rsid w:val="00CF7BA0"/>
    <w:rsid w:val="00D00DFA"/>
    <w:rsid w:val="00D056F1"/>
    <w:rsid w:val="00D06616"/>
    <w:rsid w:val="00D144D7"/>
    <w:rsid w:val="00D156BE"/>
    <w:rsid w:val="00D15A08"/>
    <w:rsid w:val="00D23DB6"/>
    <w:rsid w:val="00D4259D"/>
    <w:rsid w:val="00D51A95"/>
    <w:rsid w:val="00D57964"/>
    <w:rsid w:val="00D60568"/>
    <w:rsid w:val="00D70C7A"/>
    <w:rsid w:val="00D72A29"/>
    <w:rsid w:val="00D811C1"/>
    <w:rsid w:val="00D834E5"/>
    <w:rsid w:val="00D96C9C"/>
    <w:rsid w:val="00DA10A8"/>
    <w:rsid w:val="00DB123A"/>
    <w:rsid w:val="00DB1E08"/>
    <w:rsid w:val="00DB2973"/>
    <w:rsid w:val="00DC0FBA"/>
    <w:rsid w:val="00DC1B56"/>
    <w:rsid w:val="00DC20CC"/>
    <w:rsid w:val="00DC2129"/>
    <w:rsid w:val="00DC6570"/>
    <w:rsid w:val="00DD0285"/>
    <w:rsid w:val="00DD265C"/>
    <w:rsid w:val="00DD3703"/>
    <w:rsid w:val="00DE3766"/>
    <w:rsid w:val="00DE5528"/>
    <w:rsid w:val="00DE6ACD"/>
    <w:rsid w:val="00DF25C3"/>
    <w:rsid w:val="00DF4533"/>
    <w:rsid w:val="00DF5CFF"/>
    <w:rsid w:val="00DF72BB"/>
    <w:rsid w:val="00DF7AEE"/>
    <w:rsid w:val="00E04062"/>
    <w:rsid w:val="00E063C6"/>
    <w:rsid w:val="00E143CB"/>
    <w:rsid w:val="00E2003B"/>
    <w:rsid w:val="00E26887"/>
    <w:rsid w:val="00E279D8"/>
    <w:rsid w:val="00E30092"/>
    <w:rsid w:val="00E319B1"/>
    <w:rsid w:val="00E327A6"/>
    <w:rsid w:val="00E3684F"/>
    <w:rsid w:val="00E47D3B"/>
    <w:rsid w:val="00E5492F"/>
    <w:rsid w:val="00E572B1"/>
    <w:rsid w:val="00E6369A"/>
    <w:rsid w:val="00E64A05"/>
    <w:rsid w:val="00E70A86"/>
    <w:rsid w:val="00E73E50"/>
    <w:rsid w:val="00E777EC"/>
    <w:rsid w:val="00E80FCD"/>
    <w:rsid w:val="00E919F6"/>
    <w:rsid w:val="00E92E6F"/>
    <w:rsid w:val="00EA00E9"/>
    <w:rsid w:val="00EA2226"/>
    <w:rsid w:val="00EA7DB0"/>
    <w:rsid w:val="00EA7F2F"/>
    <w:rsid w:val="00EB1F85"/>
    <w:rsid w:val="00EB3B5C"/>
    <w:rsid w:val="00EB4B95"/>
    <w:rsid w:val="00EB576F"/>
    <w:rsid w:val="00EB6590"/>
    <w:rsid w:val="00EC00DE"/>
    <w:rsid w:val="00EC21DF"/>
    <w:rsid w:val="00EC30E1"/>
    <w:rsid w:val="00EC3436"/>
    <w:rsid w:val="00EC3B70"/>
    <w:rsid w:val="00EC66BB"/>
    <w:rsid w:val="00ED172A"/>
    <w:rsid w:val="00EE01DC"/>
    <w:rsid w:val="00F132C2"/>
    <w:rsid w:val="00F14AB3"/>
    <w:rsid w:val="00F14BEC"/>
    <w:rsid w:val="00F224B7"/>
    <w:rsid w:val="00F225C5"/>
    <w:rsid w:val="00F2587A"/>
    <w:rsid w:val="00F32568"/>
    <w:rsid w:val="00F33470"/>
    <w:rsid w:val="00F34E02"/>
    <w:rsid w:val="00F3715D"/>
    <w:rsid w:val="00F37A10"/>
    <w:rsid w:val="00F41068"/>
    <w:rsid w:val="00F420C8"/>
    <w:rsid w:val="00F42A4C"/>
    <w:rsid w:val="00F526BD"/>
    <w:rsid w:val="00F55E6C"/>
    <w:rsid w:val="00F60355"/>
    <w:rsid w:val="00F634A1"/>
    <w:rsid w:val="00F7034A"/>
    <w:rsid w:val="00F93431"/>
    <w:rsid w:val="00FB643C"/>
    <w:rsid w:val="00FB7512"/>
    <w:rsid w:val="00FD7547"/>
    <w:rsid w:val="00FE287B"/>
    <w:rsid w:val="00FE6B50"/>
    <w:rsid w:val="00FF1B03"/>
    <w:rsid w:val="00FF3E26"/>
    <w:rsid w:val="00FF41A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7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45"/>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F9343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3846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45"/>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F9343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3846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sp.org/food-ingredients/food-chemicals-code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fsanzapps/applications/A1130/Shared%20Documents/Working%20folder/Policy%20http:/www.foodstandards.gov.au/code/fofr/fofrpolicy/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http://www.fao.org/docrep/009/a0691e/A0691E03.htm"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foodstandards.gov.au/code/applications/Pages/A1130-Triacylglycerol-Lipase-as-a-PA.aspx" TargetMode="External"/><Relationship Id="rId22" Type="http://schemas.openxmlformats.org/officeDocument/2006/relationships/hyperlink" Target="http://www.chem.qmul.ac.uk/iubmb/enzyme/EC3/1/1/3.html"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mailto:information@foodstandards.gov.au" TargetMode="External"/><Relationship Id="rId2" Type="http://schemas.openxmlformats.org/officeDocument/2006/relationships/hyperlink" Target="mailto:standards.management@foodstandards.gov.au" TargetMode="External"/><Relationship Id="rId1" Type="http://schemas.openxmlformats.org/officeDocument/2006/relationships/hyperlink" Target="http://www.foodstandards.gov.au/code/applications/Pages/A1130-Triacylglycerol-Lipase-as-a-PA.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fao.org/fao-who-codexalimentarius/sh-proxy/en/?lnk=1&amp;url=https%253A%252F%252Fworkspace.fao.org%252Fsites%252Fcodex%252FMeetings%252FCX-711-49%252FReport%252FREP17_F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102</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Agenda papers</TermName>
          <TermId xmlns="http://schemas.microsoft.com/office/infopath/2007/PartnerControls">6e530783-c5c6-4772-93f9-dbabdcf97c03</TermId>
        </TermInfo>
      </Terms>
    </bd06d2da0152468b9236b575a71e0e7c>
    <_dlc_DocId xmlns="ff5de93e-c5e8-4efc-a1bd-21450292fcfe">WYJEUTFRV6AA-2404-198</_dlc_DocId>
    <_dlc_DocIdUrl xmlns="ff5de93e-c5e8-4efc-a1bd-21450292fcfe">
      <Url>http://fsanzapps/applications/A1130/_layouts/15/DocIdRedir.aspx?ID=WYJEUTFRV6AA-2404-198</Url>
      <Description>WYJEUTFRV6AA-2404-198</Description>
    </_dlc_DocIdUrl>
    <_dlc_DocIdPersistId xmlns="ff5de93e-c5e8-4efc-a1bd-21450292fcfe">true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30A6C-1065-45F2-A50B-9FF9190B4EDB}"/>
</file>

<file path=customXml/itemProps2.xml><?xml version="1.0" encoding="utf-8"?>
<ds:datastoreItem xmlns:ds="http://schemas.openxmlformats.org/officeDocument/2006/customXml" ds:itemID="{8245D7E8-69BE-4325-80E4-C9E420041B14}"/>
</file>

<file path=customXml/itemProps3.xml><?xml version="1.0" encoding="utf-8"?>
<ds:datastoreItem xmlns:ds="http://schemas.openxmlformats.org/officeDocument/2006/customXml" ds:itemID="{ADED5890-002D-406C-BBDA-4A1CD5E9FC07}"/>
</file>

<file path=customXml/itemProps4.xml><?xml version="1.0" encoding="utf-8"?>
<ds:datastoreItem xmlns:ds="http://schemas.openxmlformats.org/officeDocument/2006/customXml" ds:itemID="{31830A6C-1065-45F2-A50B-9FF9190B4EDB}">
  <ds:schemaRefs>
    <ds:schemaRef ds:uri="http://schemas.microsoft.com/sharepoint/v3/contenttype/forms"/>
  </ds:schemaRefs>
</ds:datastoreItem>
</file>

<file path=customXml/itemProps5.xml><?xml version="1.0" encoding="utf-8"?>
<ds:datastoreItem xmlns:ds="http://schemas.openxmlformats.org/officeDocument/2006/customXml" ds:itemID="{8245D7E8-69BE-4325-80E4-C9E420041B14}">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ec50576e-4a27-4780-a1e1-e59563bc70b8"/>
    <ds:schemaRef ds:uri="http://schemas.microsoft.com/office/infopath/2007/PartnerControls"/>
    <ds:schemaRef ds:uri="ff5de93e-c5e8-4efc-a1bd-21450292fcfe"/>
  </ds:schemaRefs>
</ds:datastoreItem>
</file>

<file path=customXml/itemProps6.xml><?xml version="1.0" encoding="utf-8"?>
<ds:datastoreItem xmlns:ds="http://schemas.openxmlformats.org/officeDocument/2006/customXml" ds:itemID="{820940D5-2BA1-4577-90D3-BDA84340C53D}"/>
</file>

<file path=docProps/app.xml><?xml version="1.0" encoding="utf-8"?>
<Properties xmlns="http://schemas.openxmlformats.org/officeDocument/2006/extended-properties" xmlns:vt="http://schemas.openxmlformats.org/officeDocument/2006/docPropsVTypes">
  <Template>Normal</Template>
  <TotalTime>68</TotalTime>
  <Pages>19</Pages>
  <Words>5423</Words>
  <Characters>32300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37648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lastModifiedBy>coughc</cp:lastModifiedBy>
  <cp:revision>15</cp:revision>
  <cp:lastPrinted>2011-11-14T22:43:00Z</cp:lastPrinted>
  <dcterms:created xsi:type="dcterms:W3CDTF">2017-10-24T04:33:00Z</dcterms:created>
  <dcterms:modified xsi:type="dcterms:W3CDTF">2017-10-26T00:28:00Z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102;#Agenda papers|6e530783-c5c6-4772-93f9-dbabdcf97c03</vt:lpwstr>
  </property>
  <property fmtid="{D5CDD505-2E9C-101B-9397-08002B2CF9AE}" pid="6" name="_dlc_DocIdItemGuid">
    <vt:lpwstr>88ec00b1-cd08-47c1-a0ee-1747b4f4e575</vt:lpwstr>
  </property>
  <property fmtid="{D5CDD505-2E9C-101B-9397-08002B2CF9AE}" pid="7" name="SPPCopyMoveEvent">
    <vt:lpwstr>1</vt:lpwstr>
  </property>
</Properties>
</file>